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28, 2012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22" w:lineRule="exact"/>
        <w:rPr>
          <w:sz w:val="24"/>
          <w:szCs w:val="24"/>
          <w:color w:val="auto"/>
        </w:rPr>
      </w:pPr>
    </w:p>
    <w:p>
      <w:pPr>
        <w:ind w:left="35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3731260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20" w:type="dxa"/>
            <w:vAlign w:val="bottom"/>
          </w:tcPr>
          <w:p>
            <w:pPr>
              <w:spacing w:after="0"/>
              <w:rPr>
                <w:sz w:val="18"/>
                <w:szCs w:val="18"/>
                <w:color w:val="auto"/>
              </w:rPr>
            </w:pPr>
          </w:p>
        </w:tc>
        <w:tc>
          <w:tcPr>
            <w:tcW w:w="4920" w:type="dxa"/>
            <w:vAlign w:val="bottom"/>
            <w:gridSpan w:val="4"/>
          </w:tcPr>
          <w:p>
            <w:pPr>
              <w:jc w:val="center"/>
              <w:ind w:right="3780"/>
              <w:spacing w:after="0"/>
              <w:rPr>
                <w:sz w:val="20"/>
                <w:szCs w:val="20"/>
                <w:color w:val="auto"/>
              </w:rPr>
            </w:pPr>
            <w:r>
              <w:rPr>
                <w:rFonts w:ascii="Arial" w:cs="Arial" w:eastAsia="Arial" w:hAnsi="Arial"/>
                <w:sz w:val="18"/>
                <w:szCs w:val="18"/>
                <w:b w:val="1"/>
                <w:bCs w:val="1"/>
                <w:color w:val="auto"/>
                <w:w w:val="88"/>
              </w:rPr>
              <w:t>Delaware</w:t>
            </w:r>
          </w:p>
        </w:tc>
        <w:tc>
          <w:tcPr>
            <w:tcW w:w="202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45-2598330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240" w:type="dxa"/>
            <w:vAlign w:val="bottom"/>
            <w:gridSpan w:val="5"/>
          </w:tcPr>
          <w:p>
            <w:pPr>
              <w:jc w:val="center"/>
              <w:ind w:right="146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020" w:type="dxa"/>
            <w:vAlign w:val="bottom"/>
            <w:gridSpan w:val="2"/>
          </w:tcPr>
          <w:p>
            <w:pPr>
              <w:jc w:val="center"/>
              <w:ind w:left="724"/>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240" w:type="dxa"/>
            <w:vAlign w:val="bottom"/>
            <w:gridSpan w:val="5"/>
          </w:tcPr>
          <w:p>
            <w:pPr>
              <w:jc w:val="center"/>
              <w:ind w:right="1440"/>
              <w:spacing w:after="0"/>
              <w:rPr>
                <w:sz w:val="20"/>
                <w:szCs w:val="20"/>
                <w:color w:val="auto"/>
              </w:rPr>
            </w:pPr>
            <w:r>
              <w:rPr>
                <w:rFonts w:ascii="Arial" w:cs="Arial" w:eastAsia="Arial" w:hAnsi="Arial"/>
                <w:sz w:val="14"/>
                <w:szCs w:val="14"/>
                <w:b w:val="1"/>
                <w:bCs w:val="1"/>
                <w:color w:val="auto"/>
                <w:w w:val="88"/>
              </w:rPr>
              <w:t>incorporation or organization)</w:t>
            </w:r>
          </w:p>
        </w:tc>
        <w:tc>
          <w:tcPr>
            <w:tcW w:w="2020" w:type="dxa"/>
            <w:vAlign w:val="bottom"/>
            <w:gridSpan w:val="2"/>
          </w:tcPr>
          <w:p>
            <w:pPr>
              <w:jc w:val="center"/>
              <w:ind w:left="724"/>
              <w:spacing w:after="0"/>
              <w:rPr>
                <w:sz w:val="20"/>
                <w:szCs w:val="20"/>
                <w:color w:val="auto"/>
              </w:rPr>
            </w:pPr>
            <w:r>
              <w:rPr>
                <w:rFonts w:ascii="Arial" w:cs="Arial" w:eastAsia="Arial" w:hAnsi="Arial"/>
                <w:sz w:val="14"/>
                <w:szCs w:val="14"/>
                <w:b w:val="1"/>
                <w:bCs w:val="1"/>
                <w:color w:val="auto"/>
                <w:w w:val="89"/>
              </w:rPr>
              <w:t>Identification No.)</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7240" w:type="dxa"/>
            <w:vAlign w:val="bottom"/>
            <w:gridSpan w:val="5"/>
          </w:tcPr>
          <w:p>
            <w:pPr>
              <w:jc w:val="center"/>
              <w:ind w:right="1440"/>
              <w:spacing w:after="0"/>
              <w:rPr>
                <w:sz w:val="20"/>
                <w:szCs w:val="20"/>
                <w:color w:val="auto"/>
              </w:rPr>
            </w:pPr>
            <w:r>
              <w:rPr>
                <w:rFonts w:ascii="Arial" w:cs="Arial" w:eastAsia="Arial" w:hAnsi="Arial"/>
                <w:sz w:val="18"/>
                <w:szCs w:val="18"/>
                <w:b w:val="1"/>
                <w:bCs w:val="1"/>
                <w:color w:val="auto"/>
                <w:w w:val="89"/>
              </w:rPr>
              <w:t>6649 Westwood Blvd., Orlando, FL</w:t>
            </w:r>
          </w:p>
        </w:tc>
        <w:tc>
          <w:tcPr>
            <w:tcW w:w="1660" w:type="dxa"/>
            <w:vAlign w:val="bottom"/>
          </w:tcPr>
          <w:p>
            <w:pPr>
              <w:jc w:val="center"/>
              <w:ind w:left="1104"/>
              <w:spacing w:after="0"/>
              <w:rPr>
                <w:sz w:val="20"/>
                <w:szCs w:val="20"/>
                <w:color w:val="auto"/>
              </w:rPr>
            </w:pPr>
            <w:r>
              <w:rPr>
                <w:rFonts w:ascii="Arial" w:cs="Arial" w:eastAsia="Arial" w:hAnsi="Arial"/>
                <w:sz w:val="18"/>
                <w:szCs w:val="18"/>
                <w:b w:val="1"/>
                <w:bCs w:val="1"/>
                <w:color w:val="auto"/>
                <w:w w:val="87"/>
              </w:rPr>
              <w:t>32821</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240" w:type="dxa"/>
            <w:vAlign w:val="bottom"/>
            <w:gridSpan w:val="5"/>
          </w:tcPr>
          <w:p>
            <w:pPr>
              <w:jc w:val="center"/>
              <w:ind w:right="14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020" w:type="dxa"/>
            <w:vAlign w:val="bottom"/>
            <w:gridSpan w:val="2"/>
          </w:tcPr>
          <w:p>
            <w:pPr>
              <w:jc w:val="center"/>
              <w:ind w:left="724"/>
              <w:spacing w:after="0"/>
              <w:rPr>
                <w:sz w:val="20"/>
                <w:szCs w:val="20"/>
                <w:color w:val="auto"/>
              </w:rPr>
            </w:pPr>
            <w:r>
              <w:rPr>
                <w:rFonts w:ascii="Arial" w:cs="Arial" w:eastAsia="Arial" w:hAnsi="Arial"/>
                <w:sz w:val="14"/>
                <w:szCs w:val="14"/>
                <w:b w:val="1"/>
                <w:bCs w:val="1"/>
                <w:color w:val="auto"/>
                <w:w w:val="89"/>
              </w:rPr>
              <w:t>(Zip Code)</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2320" w:type="dxa"/>
            <w:vAlign w:val="bottom"/>
          </w:tcPr>
          <w:p>
            <w:pPr>
              <w:spacing w:after="0"/>
              <w:rPr>
                <w:sz w:val="24"/>
                <w:szCs w:val="24"/>
                <w:color w:val="auto"/>
              </w:rPr>
            </w:pPr>
          </w:p>
        </w:tc>
        <w:tc>
          <w:tcPr>
            <w:tcW w:w="6580" w:type="dxa"/>
            <w:vAlign w:val="bottom"/>
            <w:gridSpan w:val="5"/>
          </w:tcPr>
          <w:p>
            <w:pPr>
              <w:jc w:val="center"/>
              <w:ind w:left="136"/>
              <w:spacing w:after="0"/>
              <w:rPr>
                <w:sz w:val="20"/>
                <w:szCs w:val="20"/>
                <w:color w:val="auto"/>
              </w:rPr>
            </w:pPr>
            <w:r>
              <w:rPr>
                <w:rFonts w:ascii="Arial" w:cs="Arial" w:eastAsia="Arial" w:hAnsi="Arial"/>
                <w:sz w:val="18"/>
                <w:szCs w:val="18"/>
                <w:b w:val="1"/>
                <w:bCs w:val="1"/>
                <w:color w:val="auto"/>
                <w:w w:val="88"/>
              </w:rPr>
              <w:t>Registrant’s Telephone Number, Including Area Code (407) 206-6000</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40" w:type="dxa"/>
            <w:vAlign w:val="bottom"/>
            <w:gridSpan w:val="4"/>
          </w:tcPr>
          <w:p>
            <w:pPr>
              <w:jc w:val="center"/>
              <w:ind w:right="86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20" w:type="dxa"/>
            <w:vAlign w:val="bottom"/>
            <w:vMerge w:val="restart"/>
          </w:tcPr>
          <w:p>
            <w:pPr>
              <w:ind w:left="1700"/>
              <w:spacing w:after="0"/>
              <w:rPr>
                <w:sz w:val="20"/>
                <w:szCs w:val="20"/>
                <w:color w:val="auto"/>
              </w:rPr>
            </w:pPr>
            <w:r>
              <w:rPr>
                <w:rFonts w:ascii="Arial" w:cs="Arial" w:eastAsia="Arial" w:hAnsi="Arial"/>
                <w:sz w:val="18"/>
                <w:szCs w:val="18"/>
                <w:b w:val="1"/>
                <w:bCs w:val="1"/>
                <w:color w:val="auto"/>
                <w:w w:val="76"/>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780" w:type="dxa"/>
            <w:vAlign w:val="bottom"/>
            <w:gridSpan w:val="3"/>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195"/>
        </w:trPr>
        <w:tc>
          <w:tcPr>
            <w:tcW w:w="2320" w:type="dxa"/>
            <w:vAlign w:val="bottom"/>
            <w:vMerge w:val="continue"/>
          </w:tcPr>
          <w:p>
            <w:pPr>
              <w:spacing w:after="0"/>
              <w:rPr>
                <w:sz w:val="16"/>
                <w:szCs w:val="16"/>
                <w:color w:val="auto"/>
              </w:rPr>
            </w:pPr>
          </w:p>
        </w:tc>
        <w:tc>
          <w:tcPr>
            <w:tcW w:w="4920" w:type="dxa"/>
            <w:vAlign w:val="bottom"/>
            <w:gridSpan w:val="4"/>
          </w:tcPr>
          <w:p>
            <w:pPr>
              <w:ind w:left="120"/>
              <w:spacing w:after="0" w:line="195" w:lineRule="exact"/>
              <w:rPr>
                <w:sz w:val="20"/>
                <w:szCs w:val="20"/>
                <w:color w:val="auto"/>
              </w:rPr>
            </w:pPr>
            <w:r>
              <w:rPr>
                <w:rFonts w:ascii="Arial" w:cs="Arial" w:eastAsia="Arial" w:hAnsi="Arial"/>
                <w:sz w:val="18"/>
                <w:szCs w:val="18"/>
                <w:b w:val="1"/>
                <w:bCs w:val="1"/>
                <w:color w:val="auto"/>
              </w:rPr>
              <w:t>Stock, $0.01 par value</w:t>
            </w:r>
          </w:p>
        </w:tc>
        <w:tc>
          <w:tcPr>
            <w:tcW w:w="2820" w:type="dxa"/>
            <w:vAlign w:val="bottom"/>
            <w:gridSpan w:val="3"/>
          </w:tcPr>
          <w:p>
            <w:pPr>
              <w:jc w:val="center"/>
              <w:spacing w:after="0" w:line="195" w:lineRule="exact"/>
              <w:rPr>
                <w:sz w:val="20"/>
                <w:szCs w:val="20"/>
                <w:color w:val="auto"/>
              </w:rPr>
            </w:pPr>
            <w:r>
              <w:rPr>
                <w:rFonts w:ascii="Arial" w:cs="Arial" w:eastAsia="Arial" w:hAnsi="Arial"/>
                <w:sz w:val="18"/>
                <w:szCs w:val="18"/>
                <w:b w:val="1"/>
                <w:bCs w:val="1"/>
                <w:color w:val="auto"/>
                <w:w w:val="87"/>
              </w:rPr>
              <w:t>New York Stock Exchange</w:t>
            </w:r>
          </w:p>
        </w:tc>
        <w:tc>
          <w:tcPr>
            <w:tcW w:w="0" w:type="dxa"/>
            <w:vAlign w:val="bottom"/>
          </w:tcPr>
          <w:p>
            <w:pPr>
              <w:spacing w:after="0"/>
              <w:rPr>
                <w:sz w:val="1"/>
                <w:szCs w:val="1"/>
                <w:color w:val="auto"/>
              </w:rPr>
            </w:pPr>
          </w:p>
        </w:tc>
      </w:tr>
      <w:tr>
        <w:trPr>
          <w:trHeight w:val="228"/>
        </w:trPr>
        <w:tc>
          <w:tcPr>
            <w:tcW w:w="7240" w:type="dxa"/>
            <w:vAlign w:val="bottom"/>
            <w:gridSpan w:val="5"/>
          </w:tcPr>
          <w:p>
            <w:pPr>
              <w:jc w:val="center"/>
              <w:ind w:right="1440"/>
              <w:spacing w:after="0"/>
              <w:rPr>
                <w:sz w:val="20"/>
                <w:szCs w:val="20"/>
                <w:color w:val="auto"/>
              </w:rPr>
            </w:pPr>
            <w:r>
              <w:rPr>
                <w:rFonts w:ascii="Arial" w:cs="Arial" w:eastAsia="Arial" w:hAnsi="Arial"/>
                <w:sz w:val="18"/>
                <w:szCs w:val="18"/>
                <w:b w:val="1"/>
                <w:bCs w:val="1"/>
                <w:color w:val="auto"/>
                <w:w w:val="87"/>
              </w:rPr>
              <w:t>(35,147,079 shares outstanding as of February 15, 2013)</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2320" w:type="dxa"/>
            <w:vAlign w:val="bottom"/>
          </w:tcPr>
          <w:p>
            <w:pPr>
              <w:spacing w:after="0"/>
              <w:rPr>
                <w:sz w:val="24"/>
                <w:szCs w:val="24"/>
                <w:color w:val="auto"/>
              </w:rPr>
            </w:pPr>
          </w:p>
        </w:tc>
        <w:tc>
          <w:tcPr>
            <w:tcW w:w="6580" w:type="dxa"/>
            <w:vAlign w:val="bottom"/>
            <w:gridSpan w:val="5"/>
          </w:tcPr>
          <w:p>
            <w:pPr>
              <w:jc w:val="center"/>
              <w:ind w:left="136"/>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52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0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900" w:type="dxa"/>
            <w:vAlign w:val="bottom"/>
            <w:gridSpan w:val="6"/>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8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No</w:t>
            </w:r>
          </w:p>
        </w:tc>
        <w:tc>
          <w:tcPr>
            <w:tcW w:w="80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8"/>
        </w:trPr>
        <w:tc>
          <w:tcPr>
            <w:tcW w:w="890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Act.  Yes</w:t>
            </w:r>
          </w:p>
        </w:tc>
        <w:tc>
          <w:tcPr>
            <w:tcW w:w="360" w:type="dxa"/>
            <w:vAlign w:val="bottom"/>
          </w:tcPr>
          <w:p>
            <w:pPr>
              <w:jc w:val="right"/>
              <w:ind w:right="92"/>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00"/>
          </w:cols>
          <w:pgMar w:left="240" w:top="230" w:right="259" w:bottom="1440" w:gutter="0" w:footer="0" w:header="0"/>
        </w:sectPr>
      </w:pPr>
    </w:p>
    <w:bookmarkStart w:id="1" w:name="page2"/>
    <w:bookmarkEnd w:id="1"/>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9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12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98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80" w:type="dxa"/>
            <w:vAlign w:val="bottom"/>
          </w:tcPr>
          <w:p>
            <w:pPr>
              <w:ind w:left="12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740" w:type="dxa"/>
            <w:vAlign w:val="bottom"/>
            <w:gridSpan w:val="2"/>
          </w:tcPr>
          <w:p>
            <w:pPr>
              <w:spacing w:after="0"/>
              <w:rPr>
                <w:sz w:val="20"/>
                <w:szCs w:val="20"/>
                <w:color w:val="auto"/>
              </w:rPr>
            </w:pPr>
            <w:r>
              <w:rPr>
                <w:rFonts w:ascii="Arial" w:cs="Arial" w:eastAsia="Arial" w:hAnsi="Arial"/>
                <w:sz w:val="18"/>
                <w:szCs w:val="18"/>
                <w:color w:val="auto"/>
                <w:w w:val="95"/>
              </w:rPr>
              <w:t>The aggregate market value of shares of common stock held by non-affiliates at June 15, 2012, was $825,610,327.</w:t>
            </w:r>
          </w:p>
        </w:tc>
        <w:tc>
          <w:tcPr>
            <w:tcW w:w="228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Portions of the Proxy Statement prepared for the 2013 Annual Meeting of Shareholders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0" w:type="dxa"/>
            <w:vAlign w:val="bottom"/>
            <w:gridSpan w:val="9"/>
          </w:tcPr>
          <w:p>
            <w:pPr>
              <w:ind w:left="280"/>
              <w:spacing w:after="0"/>
              <w:rPr>
                <w:sz w:val="20"/>
                <w:szCs w:val="20"/>
                <w:color w:val="auto"/>
              </w:rPr>
            </w:pPr>
            <w:r>
              <w:rPr>
                <w:rFonts w:ascii="Arial" w:cs="Arial" w:eastAsia="Arial" w:hAnsi="Arial"/>
                <w:sz w:val="18"/>
                <w:szCs w:val="18"/>
                <w:b w:val="1"/>
                <w:bCs w:val="1"/>
                <w:color w:val="auto"/>
              </w:rPr>
              <w:t>TABLE OF CONTENTS</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660" w:type="dxa"/>
            <w:vAlign w:val="bottom"/>
            <w:gridSpan w:val="5"/>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3"/>
        </w:trPr>
        <w:tc>
          <w:tcPr>
            <w:tcW w:w="1660" w:type="dxa"/>
            <w:vAlign w:val="bottom"/>
            <w:gridSpan w:val="5"/>
            <w:vMerge w:val="continue"/>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000" w:type="dxa"/>
            <w:vAlign w:val="bottom"/>
            <w:gridSpan w:val="2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Risk Factors</w:t>
              </w:r>
            </w:hyperlink>
          </w:p>
        </w:tc>
        <w:tc>
          <w:tcPr>
            <w:tcW w:w="7740" w:type="dxa"/>
            <w:vAlign w:val="bottom"/>
            <w:gridSpan w:val="1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1B.</w:t>
            </w:r>
          </w:p>
        </w:tc>
        <w:tc>
          <w:tcPr>
            <w:tcW w:w="864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Properties</w:t>
              </w:r>
            </w:hyperlink>
          </w:p>
        </w:tc>
        <w:tc>
          <w:tcPr>
            <w:tcW w:w="6640" w:type="dxa"/>
            <w:vAlign w:val="bottom"/>
            <w:gridSpan w:val="1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Legal Proceedings</w:t>
              </w:r>
            </w:hyperlink>
          </w:p>
        </w:tc>
        <w:tc>
          <w:tcPr>
            <w:tcW w:w="732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4.</w:t>
            </w:r>
          </w:p>
        </w:tc>
        <w:tc>
          <w:tcPr>
            <w:tcW w:w="8640" w:type="dxa"/>
            <w:vAlign w:val="bottom"/>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660" w:type="dxa"/>
            <w:vAlign w:val="bottom"/>
            <w:gridSpan w:val="5"/>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5.</w:t>
            </w:r>
          </w:p>
        </w:tc>
        <w:tc>
          <w:tcPr>
            <w:tcW w:w="8640" w:type="dxa"/>
            <w:vAlign w:val="bottom"/>
            <w:gridSpan w:val="21"/>
          </w:tcPr>
          <w:p>
            <w:pPr>
              <w:spacing w:after="0" w:line="196" w:lineRule="exact"/>
              <w:rPr>
                <w:rFonts w:ascii="Arial" w:cs="Arial" w:eastAsia="Arial" w:hAnsi="Arial"/>
                <w:sz w:val="18"/>
                <w:szCs w:val="18"/>
                <w:color w:val="0000EE"/>
                <w:w w:val="96"/>
              </w:rPr>
            </w:pPr>
            <w:hyperlink w:anchor="page30">
              <w:r>
                <w:rPr>
                  <w:rFonts w:ascii="Arial" w:cs="Arial" w:eastAsia="Arial" w:hAnsi="Arial"/>
                  <w:sz w:val="18"/>
                  <w:szCs w:val="18"/>
                  <w:color w:val="0000EE"/>
                  <w:w w:val="96"/>
                </w:rPr>
                <w:t>Market for Registrant’s Common Equity, Related Stockholder Matters and Issuer Purchases of Equity Securities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7.</w:t>
            </w:r>
          </w:p>
        </w:tc>
        <w:tc>
          <w:tcPr>
            <w:tcW w:w="864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7A.</w:t>
            </w:r>
          </w:p>
        </w:tc>
        <w:tc>
          <w:tcPr>
            <w:tcW w:w="6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Quantitative and Qualitative Disclosures About Market Risk</w:t>
              </w:r>
            </w:hyperlink>
          </w:p>
        </w:tc>
        <w:tc>
          <w:tcPr>
            <w:tcW w:w="2340" w:type="dxa"/>
            <w:vAlign w:val="bottom"/>
            <w:gridSpan w:val="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Financial Statements and Supplementary Data</w:t>
              </w:r>
            </w:hyperlink>
          </w:p>
        </w:tc>
        <w:tc>
          <w:tcPr>
            <w:tcW w:w="1000" w:type="dxa"/>
            <w:vAlign w:val="bottom"/>
            <w:tcBorders>
              <w:top w:val="single" w:sz="8" w:color="0000EE"/>
            </w:tcBorders>
            <w:gridSpan w:val="2"/>
          </w:tcPr>
          <w:p>
            <w:pPr>
              <w:spacing w:after="0"/>
              <w:rPr>
                <w:sz w:val="17"/>
                <w:szCs w:val="17"/>
                <w:color w:val="auto"/>
              </w:rPr>
            </w:pPr>
          </w:p>
        </w:tc>
        <w:tc>
          <w:tcPr>
            <w:tcW w:w="4380" w:type="dxa"/>
            <w:vAlign w:val="bottom"/>
            <w:gridSpan w:val="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9.</w:t>
            </w:r>
          </w:p>
        </w:tc>
        <w:tc>
          <w:tcPr>
            <w:tcW w:w="8640" w:type="dxa"/>
            <w:vAlign w:val="bottom"/>
            <w:gridSpan w:val="2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 Disclosure</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17"/>
                <w:szCs w:val="17"/>
                <w:color w:val="auto"/>
              </w:rPr>
            </w:pPr>
          </w:p>
        </w:tc>
        <w:tc>
          <w:tcPr>
            <w:tcW w:w="232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9B.</w:t>
            </w:r>
          </w:p>
        </w:tc>
        <w:tc>
          <w:tcPr>
            <w:tcW w:w="864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660" w:type="dxa"/>
            <w:vAlign w:val="bottom"/>
            <w:gridSpan w:val="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10.</w:t>
            </w:r>
          </w:p>
        </w:tc>
        <w:tc>
          <w:tcPr>
            <w:tcW w:w="8640" w:type="dxa"/>
            <w:vAlign w:val="bottom"/>
            <w:gridSpan w:val="21"/>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Directors, Executive Officers and Corporate Governance</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Executive Compensation</w:t>
              </w:r>
            </w:hyperlink>
          </w:p>
        </w:tc>
        <w:tc>
          <w:tcPr>
            <w:tcW w:w="464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12.</w:t>
            </w:r>
          </w:p>
        </w:tc>
        <w:tc>
          <w:tcPr>
            <w:tcW w:w="864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Security Ownership of Certain Beneficial Owners and Management and Related Stockholder Matters</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Certain Relationships and Related Transactions, and Director Independence</w:t>
              </w:r>
            </w:hyperlink>
          </w:p>
        </w:tc>
        <w:tc>
          <w:tcPr>
            <w:tcW w:w="152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Accounting Fees and Services</w:t>
              </w:r>
            </w:hyperlink>
          </w:p>
        </w:tc>
        <w:tc>
          <w:tcPr>
            <w:tcW w:w="332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660" w:type="dxa"/>
            <w:vAlign w:val="bottom"/>
            <w:gridSpan w:val="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ind w:left="220"/>
              <w:spacing w:after="0" w:line="196"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70">
              <w:r>
                <w:rPr>
                  <w:rFonts w:ascii="Arial" w:cs="Arial" w:eastAsia="Arial" w:hAnsi="Arial"/>
                  <w:sz w:val="18"/>
                  <w:szCs w:val="18"/>
                  <w:color w:val="0000EE"/>
                  <w:w w:val="87"/>
                </w:rPr>
                <w:t>Exhibits, Financial Statement Schedules</w:t>
              </w:r>
            </w:hyperlink>
          </w:p>
        </w:tc>
        <w:tc>
          <w:tcPr>
            <w:tcW w:w="580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71">
              <w:r>
                <w:rPr>
                  <w:rFonts w:ascii="Arial" w:cs="Arial" w:eastAsia="Arial" w:hAnsi="Arial"/>
                  <w:sz w:val="18"/>
                  <w:szCs w:val="18"/>
                  <w:color w:val="0000EE"/>
                  <w:w w:val="85"/>
                </w:rPr>
                <w:t>Signatures</w:t>
              </w:r>
            </w:hyperlink>
          </w:p>
        </w:tc>
        <w:tc>
          <w:tcPr>
            <w:tcW w:w="7880" w:type="dxa"/>
            <w:vAlign w:val="bottom"/>
            <w:gridSpan w:val="1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subsidiaries, as “Marriott Vacations Worldwide,” “we,” “us,” or “the Company.” Unless otherwise specified, each reference to a particular year means the fiscal year ended on the date shown in the table below, rather than the corresponding calendar year. All fiscal years included 52 weeks, except for 2008, which included 53 weeks.</w:t>
      </w:r>
    </w:p>
    <w:p>
      <w:pPr>
        <w:spacing w:after="0" w:line="17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3040" w:type="dxa"/>
            <w:vAlign w:val="bottom"/>
          </w:tcPr>
          <w:p>
            <w:pPr>
              <w:spacing w:after="0"/>
              <w:rPr>
                <w:sz w:val="14"/>
                <w:szCs w:val="14"/>
                <w:color w:val="auto"/>
              </w:rPr>
            </w:pP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Fiscal Year-End Date</w:t>
            </w:r>
          </w:p>
        </w:tc>
      </w:tr>
      <w:tr>
        <w:trPr>
          <w:trHeight w:val="201"/>
        </w:trPr>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2012</w:t>
            </w:r>
          </w:p>
        </w:tc>
        <w:tc>
          <w:tcPr>
            <w:tcW w:w="3040" w:type="dxa"/>
            <w:vAlign w:val="bottom"/>
          </w:tcPr>
          <w:p>
            <w:pPr>
              <w:spacing w:after="0"/>
              <w:rPr>
                <w:sz w:val="17"/>
                <w:szCs w:val="17"/>
                <w:color w:val="auto"/>
              </w:rPr>
            </w:pPr>
          </w:p>
        </w:tc>
        <w:tc>
          <w:tcPr>
            <w:tcW w:w="13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3"/>
              </w:rPr>
              <w:t>December 28, 2012</w:t>
            </w:r>
          </w:p>
        </w:tc>
        <w:tc>
          <w:tcPr>
            <w:tcW w:w="20" w:type="dxa"/>
            <w:vAlign w:val="bottom"/>
          </w:tcPr>
          <w:p>
            <w:pPr>
              <w:spacing w:after="0"/>
              <w:rPr>
                <w:sz w:val="17"/>
                <w:szCs w:val="17"/>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4380" w:type="dxa"/>
            <w:vAlign w:val="bottom"/>
            <w:gridSpan w:val="3"/>
          </w:tcPr>
          <w:p>
            <w:pPr>
              <w:jc w:val="center"/>
              <w:ind w:left="2912"/>
              <w:spacing w:after="0"/>
              <w:rPr>
                <w:sz w:val="20"/>
                <w:szCs w:val="20"/>
                <w:color w:val="auto"/>
              </w:rPr>
            </w:pPr>
            <w:r>
              <w:rPr>
                <w:rFonts w:ascii="Arial" w:cs="Arial" w:eastAsia="Arial" w:hAnsi="Arial"/>
                <w:sz w:val="18"/>
                <w:szCs w:val="18"/>
                <w:color w:val="auto"/>
                <w:w w:val="87"/>
              </w:rPr>
              <w:t>December 30, 2011</w:t>
            </w: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4380" w:type="dxa"/>
            <w:vAlign w:val="bottom"/>
            <w:gridSpan w:val="3"/>
          </w:tcPr>
          <w:p>
            <w:pPr>
              <w:jc w:val="center"/>
              <w:ind w:left="2912"/>
              <w:spacing w:after="0"/>
              <w:rPr>
                <w:sz w:val="20"/>
                <w:szCs w:val="20"/>
                <w:color w:val="auto"/>
              </w:rPr>
            </w:pPr>
            <w:r>
              <w:rPr>
                <w:rFonts w:ascii="Arial" w:cs="Arial" w:eastAsia="Arial" w:hAnsi="Arial"/>
                <w:sz w:val="18"/>
                <w:szCs w:val="18"/>
                <w:color w:val="auto"/>
                <w:w w:val="87"/>
              </w:rPr>
              <w:t>December 31, 2010</w:t>
            </w: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040" w:type="dxa"/>
            <w:vAlign w:val="bottom"/>
          </w:tcPr>
          <w:p>
            <w:pPr>
              <w:spacing w:after="0"/>
              <w:rPr>
                <w:sz w:val="18"/>
                <w:szCs w:val="18"/>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January 1, 2010</w:t>
            </w:r>
          </w:p>
        </w:tc>
      </w:tr>
      <w:tr>
        <w:trPr>
          <w:trHeight w:val="222"/>
        </w:trPr>
        <w:tc>
          <w:tcPr>
            <w:tcW w:w="68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040" w:type="dxa"/>
            <w:vAlign w:val="bottom"/>
          </w:tcPr>
          <w:p>
            <w:pPr>
              <w:spacing w:after="0"/>
              <w:rPr>
                <w:sz w:val="19"/>
                <w:szCs w:val="19"/>
                <w:color w:val="auto"/>
              </w:rPr>
            </w:pPr>
          </w:p>
        </w:tc>
        <w:tc>
          <w:tcPr>
            <w:tcW w:w="134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January 2, 2009</w:t>
            </w:r>
          </w:p>
        </w:tc>
      </w:tr>
    </w:tbl>
    <w:p>
      <w:pPr>
        <w:spacing w:after="0" w:line="15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in order to make this Annual Report easier to read, we refer throughout to (i) our Consolidated Financial Statements as our “Financial Statements,” (ii) our Consolidated Statements of Operations as our “Statements of Operations,” (iii) our Consolidated Balance Sheets as our “Balance Sheets” and (iv) our Consolidated Statements of Cash Flows as our “Cash Flows.”</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Throughout this Annual Report, we refer to brands that we own, as well as those brands that we license from Marriott International, Inc. (“Marriott International”) or its affiliates, as our brands.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77" w:lineRule="exact"/>
        <w:rPr>
          <w:sz w:val="20"/>
          <w:szCs w:val="20"/>
          <w:color w:val="auto"/>
        </w:rPr>
      </w:pPr>
    </w:p>
    <w:p>
      <w:pPr>
        <w:ind w:right="360" w:firstLine="456"/>
        <w:spacing w:after="0" w:line="290" w:lineRule="auto"/>
        <w:rPr>
          <w:sz w:val="20"/>
          <w:szCs w:val="20"/>
          <w:color w:val="auto"/>
        </w:rPr>
      </w:pPr>
      <w:r>
        <w:rPr>
          <w:rFonts w:ascii="Arial" w:cs="Arial" w:eastAsia="Arial" w:hAnsi="Arial"/>
          <w:sz w:val="16"/>
          <w:szCs w:val="16"/>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risk factors discussed in “Risk Factors”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global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generally provides on-site management for Ritz-Carlton branded properties. We are one of the world’s largest companies whose business is focused almost entirely on vacation ownership, based on number of owners, number of resorts and revenues.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were organized as a corporation in June 2011 and became a public company in November 2011 when Marriott International completed the spin-off of its vacation ownership division through the distribution of our outstanding common stock to the Marriott International shareholders (the “Spin-Off”). We generate most of our revenues from four primary sources: selling vacation ownership products, managing our resorts, financing consumer purchases, and renting vacation ownership inventory. As of December 28, 2012, we had 64 vacation ownership resorts in the United States and nine other countries and territories and approximately 421,000 owners of our vacation ownership and residential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We believe that we have significant competitive advantages, including our scale and global reach, the quality and strength of the Marriott and Ritz-Carlton brands, our loyal and highly satisfied customer base, our long-standing track record and our experienced management team.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96" w:lineRule="exact"/>
        <w:rPr>
          <w:sz w:val="20"/>
          <w:szCs w:val="20"/>
          <w:color w:val="auto"/>
        </w:rPr>
      </w:pPr>
    </w:p>
    <w:p>
      <w:pPr>
        <w:ind w:right="100" w:firstLine="456"/>
        <w:spacing w:after="0" w:line="308" w:lineRule="auto"/>
        <w:rPr>
          <w:sz w:val="20"/>
          <w:szCs w:val="20"/>
          <w:color w:val="auto"/>
        </w:rPr>
      </w:pPr>
      <w:r>
        <w:rPr>
          <w:rFonts w:ascii="Arial" w:cs="Arial" w:eastAsia="Arial" w:hAnsi="Arial"/>
          <w:sz w:val="15"/>
          <w:szCs w:val="15"/>
          <w:color w:val="auto"/>
        </w:rPr>
        <w:t>The vacation ownership industry (also known as the timeshare industry) enables customers to share ownership and use of fully-furnished vacation accommodations. Typically, a vacation ownership purchaser acquires either a fee simple interest in a property (or collection of properties), which gives the purchaser title to a fraction of a unit, or a right to use a property for a specific period of time. These rights may consist of a deeded interest in a specified accommodation unit, an undivided interest in a building or resort, or an interest in a trust that owns one or more resorts. Generally, a vacation ownership purchaser’s fee simple interest in or right to use a property is referred to as a “vacation ownership interest.” By purchasing a vacation ownership interest, owners make a commitment to vacation. For many vacation ownership interest purchasers, vacation ownership is an attractive vacation alternative to traditional lodging accommodations (such as hotels, resorts and condominium rentals). By purchasing a vacation ownership interest, owners can avoid the volatility in room rates to which lodging customers are subject. Owners can also enjoy vacation ownership accommodations that are, on average, more than twice the size of traditional hotel rooms and typically have more amenities, such as kitchens, than traditional hotel rooms. Other vacation ownership purchasers find vacation ownership preferable to owning a second home because vacation ownership is more convenient, reduces maintenance and upkeep concerns and offers greater flexibility.</w:t>
      </w:r>
    </w:p>
    <w:p>
      <w:pPr>
        <w:spacing w:after="0" w:line="10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Typically, developers sell vacation ownership interests for a fixed purchase price that is paid in full at closing. Many vacation ownership companies provide financing or facilitate access to third-party bank financing for customers. Vacation ownership resorts are often managed by a nonprofit property owners’ association in which owners of vacation ownership interests participate. Most property owners’ associations are governed by a board of trustees or directors that includes representatives of the owners, which may include the developer for so long as the developer owns interests in the resort. Some vacation ownership resorts are held through a trust structure in which a trustee holds title to the resort and manages the resort. The board of the property owners’ association, or trustee, as applicable, typically delegates much of the responsibility for managing the resort to a management company, which may be affiliated with the developer.</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resorts, including management fees and expenses, taxes, insurance, and other related costs, and of providing program services (such as reservation services). This fee typically includes a property management fee payable to the vacation ownership company for providing management services as well as an assessment for funds to be deposited into a capital asset reserve fund and used to renovate, refurbish and replace furnishings, common areas and other assets (such as parking lots or roofs) as needed over time. Owners typically reserve their usage of vacation accommodations in advance through a reservation system (often provided by the vacation ownership company), unless a vacation ownership interest specifies fixed usage dates and a particular unit every year.</w:t>
      </w:r>
    </w:p>
    <w:p>
      <w:pPr>
        <w:spacing w:after="0" w:line="11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The vacation ownership industry has grown through expansion of established vacation ownership developers as well as the entrance into this market of well-known lodging and entertainment companies, including Marriott International, Disney, Four Seasons, Hilton, Hyatt, Starwood and Wyndham, which have developed larger resorts as the vacation ownership resort industry has matured. The industry’s growth can also be attributed to increased market acceptance of vacation ownership resorts, stronger consumer protection laws and the evolution of vacation ownership 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the member can redeem in exchange for stays at the vacation ownership resorts included in the network or for other vacation options available through the program.</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 enhance the appeal of their products, vacation ownership developers with multiple resorts and/or hotel affiliations typically establish systems that enable owners to use resorts across their resort portfolio and/or their affiliated hotel networks. In addition to these resort systems, developers of all sizes typically also affiliate with vacation ownership exchange companies in order to give customers the ability to exchange their rights to use the developer’s resorts into a broader network of resorts. The two leading exchange service providers are Interval International, with which we are associated, and Resort Condominium International. Interval International’s and Resort Condominium International’s networks include approximately 2,700 and 4,000 affiliated resorts, respectively, as identified on each company’s website.</w:t>
      </w:r>
    </w:p>
    <w:p>
      <w:pPr>
        <w:spacing w:after="0" w:line="14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According to the American Resort Development Association (“ARDA”), a trade association representing the vacation ownership and resort development industries, as of December 31, 2011, the U.S. vacation ownership community was comprised of over 1,500 resorts, representing over 194,000 units and an estimated 8.4 million vacation ownership week equivalents. According to ARDA, sales were $6.5 billion in 2011. We believe there is considerable potential for further growth in the vacation ownership industry.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1984, Marriott International’s predecessor, Marriott Corporation, became the first major lodging company to enter the vacation ownership industry with its acquisition of American Resorts, a small vacation ownership company. Marriott International leveraged its well-known “Marriott” brand to sell vacation ownership intervals, which were frequently located at resorts developed adjacent to Marriott International hotels. Over time, the company differentiated its offerings through its high-quality resorts that were purpose-built for vacation ownership, exchange opportunities available under its Marriott Rewards customer loyalty program that increased the flexibility of use of ownership, its dedication to excellent customer service and its commitment to ethical business practices. These qualities encouraged repeat business and word-of-mouth customer referrals.</w:t>
      </w:r>
    </w:p>
    <w:p>
      <w:pPr>
        <w:spacing w:after="0" w:line="120"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Marriott International, working with ARDA, also encouraged the enactment of responsible consumer-protection legislation and state regulation that enhanced the reputation and respectability of the overall vacation ownership industry. We believe that, over time, Marriott International’s vacation ownership products and services helped improve the public perception of the vacation ownership industry. A number of other major lodging companies later entered the vacation ownership business, further enhancing the industry’s image and credibility.</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November 21, 2011, the Spin-Off of our company from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As a result of the Spin-Off, we became an independent company, and our common stock is listed on the New York Stock Exchange under the symbol “VAC.” Marriott Vacations Worldwide Corporation was incorporated in Delaware in June 2011. Our corporate headquarters is located in Orlando, Florida.</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order to provide for an orderly transition to our status as an independent, publicly owned company and to govern the ongoing relationship between us and Marriott International, we and Marriott International entered into material agreements pertaining to the provision by each company to the other of certain services, and the rights and obligations of each company, following the Spin-Off. These agreements also provide for each company to indemnify the other against certain liabilities arising from our respective businesses. Following the Spin-Off, we and Marriott International have operated independently, and neither company has any ownership interest in the other.</w:t>
      </w:r>
    </w:p>
    <w:p>
      <w:pPr>
        <w:spacing w:after="0" w:line="14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Separation and Distribution Agreement among our company, certain of our subsidiaries and Marriott International (the “Separation and Distribution Agreement”) governs the principal actions taken in connection with the Spin-Off and sets forth other agreements that govern certain aspects of our continued relationship with Marriott International following the Spin-Off.</w:t>
      </w:r>
    </w:p>
    <w:p>
      <w:pPr>
        <w:spacing w:after="0" w:line="14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entered into a License, Services, and Development Agreement with Marriott International and its subsidiary Marriott Worldwide Corporation (the “Marriott License Agreement”) and a License, Services, and Development Agreement with The Ritz-Carlton Hotel Company, L.L.C. (the “Ritz-Carlton License Agreement” and, together with the Marriott License Agreement, the “License Agreements”).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 We also entered into a Non-Competition Agreement with Marriott International (the “Non-Competition Agreement”), which generally prohibits Marriott International and its subsidiaries from engaging in the vacation ownership business and prohibits us and our subsidiaries from engaging in the hotel business until the earlier of November 21, 2021 or the termination of the Marriott License Agreement.</w:t>
      </w:r>
    </w:p>
    <w:p>
      <w:pPr>
        <w:spacing w:after="0" w:line="120" w:lineRule="exact"/>
        <w:rPr>
          <w:sz w:val="20"/>
          <w:szCs w:val="20"/>
          <w:color w:val="auto"/>
        </w:rPr>
      </w:pPr>
    </w:p>
    <w:p>
      <w:pPr>
        <w:ind w:right="440" w:firstLine="456"/>
        <w:spacing w:after="0" w:line="298" w:lineRule="auto"/>
        <w:rPr>
          <w:sz w:val="20"/>
          <w:szCs w:val="20"/>
          <w:color w:val="auto"/>
        </w:rPr>
      </w:pPr>
      <w:r>
        <w:rPr>
          <w:rFonts w:ascii="Arial" w:cs="Arial" w:eastAsia="Arial" w:hAnsi="Arial"/>
          <w:sz w:val="16"/>
          <w:szCs w:val="16"/>
          <w:color w:val="auto"/>
        </w:rPr>
        <w:t>Under the Marriott Rewards Affiliation Agreement that we and certain of our subsidiaries entered into with Marriott International and its subsidiary Marriott Rewards, LLC (the “Marriott Rewards Agreement”), we are allowed to continue to participate in the Marriott Rewards customer loyalty program following the Spin-Off; this participation includes the ability to purchase and use Marriott Rewards Points in connection with our Marriott-branded vacation ownership business. The Marriott Rewards Agreement is coterminous with the Marriott License Agreement.</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entered into a Tax Sharing and Indemnification Agreement with Marriott International (the “Tax Sharing and Indemnification Agreement”). This agreement describes the methodology for allocating between Marriott International and ourselves responsibility for federal, state, local and foreign income and other taxes relating to taxable periods before and after the Spin-Off. It also provides that if any part of the Spin-Off fails to qualify for the tax treatment stated in the ruling Marriott International received from the U.S. Internal Revenue Service in connection with the Spin-Off, taxes imposed on Marriott International or that it incurs as a result of such failure will be allocated between Marriott International and us, and describes the conditions under which each company will indemnify and hold harmless the other from and against the taxes so allocated.</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Employee Benefits and Other Employment Matters Allocation Agreement that we entered into with Marriott International (the “Employee Benefits and Other Employment Matters Allocation Agreement”) sets forth our agreement with Marriott International on the allocation of employees and obligations and responsibilities for compensation, benefits and labor matters, including, among other things, the treatment of outstanding awards under the Marriott International, Inc. Stock and Cash Incentive Plan (the “Marriott International Stock Plan”), deferred compensation obligations, retirement plans and medical and other welfare benefit plans.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also entered into a number of transition services agreements with Marriott International. Under these agreements, Marriott International or certain of its subsidiaries provide us with certain services for a limited time following the Spin-Off. These agreements generally have terms of up to 24 months. We may terminate any transition service upon prior notice to Marriott International, generally 120 days in advance of the service termination date. The amounts charged to us for transition services are intended to allow Marriott International to recover its direct and indirect costs incurred in providing those services. In connection with our ongoing organizational and separation related efforts, we have ceased using certain services previously provided to us under the transition services agreements as we have developed the capability to provide such services in-house or arranged for third-parties to provide such services.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design, build, manage and maintain our properties at upscale and luxury levels in accordance with the Marriott and Ritz-Carlton brand standards that we must comply with under the License Agreements.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our products under four brands:</w:t>
      </w:r>
    </w:p>
    <w:p>
      <w:pPr>
        <w:spacing w:after="0" w:line="165" w:lineRule="exact"/>
        <w:rPr>
          <w:sz w:val="20"/>
          <w:szCs w:val="20"/>
          <w:color w:val="auto"/>
        </w:rPr>
      </w:pPr>
    </w:p>
    <w:p>
      <w:pPr>
        <w:jc w:val="both"/>
        <w:ind w:firstLine="456"/>
        <w:spacing w:after="0" w:line="25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Marriott Vacation Club</w:t>
      </w:r>
      <w:r>
        <w:rPr>
          <w:rFonts w:ascii="Arial" w:cs="Arial" w:eastAsia="Arial" w:hAnsi="Arial"/>
          <w:sz w:val="18"/>
          <w:szCs w:val="18"/>
          <w:color w:val="auto"/>
        </w:rPr>
        <w:t xml:space="preserve"> brand is our signature offering in the upscale tier of the vacation ownership industry. Marriott Vacation Club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w:t>
      </w:r>
    </w:p>
    <w:p>
      <w:pPr>
        <w:spacing w:after="0" w:line="136" w:lineRule="exact"/>
        <w:rPr>
          <w:sz w:val="20"/>
          <w:szCs w:val="20"/>
          <w:color w:val="auto"/>
        </w:rPr>
      </w:pPr>
    </w:p>
    <w:p>
      <w:pPr>
        <w:jc w:val="both"/>
        <w:ind w:right="420" w:firstLine="456"/>
        <w:spacing w:after="0" w:line="310" w:lineRule="auto"/>
        <w:rPr>
          <w:sz w:val="20"/>
          <w:szCs w:val="20"/>
          <w:color w:val="auto"/>
        </w:rPr>
      </w:pPr>
      <w:r>
        <w:rPr>
          <w:rFonts w:ascii="Arial" w:cs="Arial" w:eastAsia="Arial" w:hAnsi="Arial"/>
          <w:sz w:val="16"/>
          <w:szCs w:val="16"/>
          <w:b w:val="1"/>
          <w:bCs w:val="1"/>
          <w:color w:val="auto"/>
        </w:rPr>
        <w:t xml:space="preserve">Grand Residences by Marriott </w:t>
      </w:r>
      <w:r>
        <w:rPr>
          <w:rFonts w:ascii="Arial" w:cs="Arial" w:eastAsia="Arial" w:hAnsi="Arial"/>
          <w:sz w:val="16"/>
          <w:szCs w:val="16"/>
          <w:color w:val="auto"/>
        </w:rPr>
        <w:t>is an upscale tier vacation ownership and whole ownership residence brand. The accommodations for this brand are</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to those we offer under the Marriott Vacation Club brand. The time period for each Grand Residences by Marriott vacation ownership interest ranges between three and thirteen weeks. We also offer whole ownership residential products under this brand.</w:t>
      </w:r>
    </w:p>
    <w:p>
      <w:pPr>
        <w:spacing w:after="0" w:line="97" w:lineRule="exact"/>
        <w:rPr>
          <w:sz w:val="20"/>
          <w:szCs w:val="20"/>
          <w:color w:val="auto"/>
        </w:rPr>
      </w:pPr>
    </w:p>
    <w:p>
      <w:pPr>
        <w:ind w:right="60" w:firstLine="456"/>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Ritz-Carlton Destination Club</w:t>
      </w:r>
      <w:r>
        <w:rPr>
          <w:rFonts w:ascii="Arial" w:cs="Arial" w:eastAsia="Arial" w:hAnsi="Arial"/>
          <w:sz w:val="16"/>
          <w:szCs w:val="16"/>
          <w:color w:val="auto"/>
        </w:rPr>
        <w:t xml:space="preserve"> is a luxury tier vacation ownership brand. The Ritz-Carlton Destination Club provides luxurious vacation experiences commensurate with the legacy of the Ritz-Carlton brand. Ritz-Carlton Destination Club resorts typically feature two, three and four bedroom units that generally include marble foyers, walk-in closets and custom kitchen cabinetry, and luxury resort amenities such as large feature pools and access to full service restaurants and bars. The on-site services, which usually include daily maid service, valet, in-residence dining, and access to fitness facilities as well as spa and sports facilities as appropriate for each destination, are delivered by Ritz-Carlton.</w:t>
      </w:r>
    </w:p>
    <w:p>
      <w:pPr>
        <w:spacing w:after="0" w:line="108" w:lineRule="exact"/>
        <w:rPr>
          <w:sz w:val="20"/>
          <w:szCs w:val="20"/>
          <w:color w:val="auto"/>
        </w:rPr>
      </w:pPr>
    </w:p>
    <w:p>
      <w:pPr>
        <w:ind w:right="40" w:firstLine="456"/>
        <w:spacing w:after="0" w:line="30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Ritz-Carlton Residences</w:t>
      </w:r>
      <w:r>
        <w:rPr>
          <w:rFonts w:ascii="Arial" w:cs="Arial" w:eastAsia="Arial" w:hAnsi="Arial"/>
          <w:sz w:val="16"/>
          <w:szCs w:val="16"/>
          <w:color w:val="auto"/>
        </w:rPr>
        <w:t xml:space="preserve"> is a luxury tier whole ownership residence brand. The Ritz-Carlton Residences include whole ownership luxury residential condominiums and home sites for luxury home construction co-located with Ritz-Carlton Destination Club resorts. Owners can typically purchase condominiums that vary in size from one-bedroom apartments to spacious penthouses. Ritz-Carlton Residences owners can avail themselves of the services and facilities that are associated with the co-located Ritz-Carlton Destination Club resort on an a la carte basis. On-site services are delivered by Ritz-Carlton.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Points-Based Vacation Ownership Products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offer the majority of our products through two points-based ownership programs: Marriott Vacation Club Destinations</w:t>
      </w:r>
      <w:r>
        <w:rPr>
          <w:rFonts w:ascii="Arial" w:cs="Arial" w:eastAsia="Arial" w:hAnsi="Arial"/>
          <w:sz w:val="10"/>
          <w:szCs w:val="10"/>
          <w:color w:val="auto"/>
        </w:rPr>
        <w:t>TM</w:t>
      </w:r>
      <w:r>
        <w:rPr>
          <w:rFonts w:ascii="Arial" w:cs="Arial" w:eastAsia="Arial" w:hAnsi="Arial"/>
          <w:sz w:val="16"/>
          <w:szCs w:val="16"/>
          <w:color w:val="auto"/>
        </w:rPr>
        <w:t xml:space="preserve"> (“MVCD”) and Marriott Vacation Club, Asia Pacific. While the individual characteristics of each of our points-based programs differ slightly, in each program, owners receive an annual allotment of points representing the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flexible check-in days. The MVCD and the Marriott Vacation Club, Asia Pacific programs allow owners to bank and borrow their annual point allotments, as well as access other Marriott Vacation Club locations through internal exchange programs that we and Interval International operate, access Interval International’s approximately 2,700 affiliated resorts, or trade their vacation ownership usage rights for Marriott Rewards Points. Owners can use Marriott Rewards Points to access the vast majority of Marriott International’s system of over 3,600 participating hotels or redeem their Marriott Rewards Points for airline miles or other merchandise offered through the Marriott Rewards customer loyalty program. Members of our points-based programs pay annual fees in exchange for the ability to participate in the program. MVCD owners hold an interest in real estate, owned in perpetuity. Our Marriott Vacation Club, Asia Pacific program offers usage for a term of approximately 50 years from the program’s 2006 date of launch.</w:t>
      </w:r>
    </w:p>
    <w:p>
      <w:pPr>
        <w:spacing w:after="0" w:line="12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In 2012, we ceased offering a Ritz-Carlton Destination Club points-based vacation ownership product. Inventory from one of the Ritz-Carlton Destination Club branded resorts has been added to the MVCD program, and we intend to place most of our remaining luxury branded inventory into the MVCD program.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Weeks-Based Vacation Ownership Products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continue to sell Marriott Vacation Club branded weeks-based vacation ownership products in select markets, including in countries where legal and tax constraints currently limit our ability to include those locations in the MVCD trust. We have historically offered multi-week vacation ownership interests in specific Ritz-Carlton Destination Club and Grand Residences by Marriott resorts to address demand from some owners for site specific ownership, but expect future demand for these products to be minimal. Our Marriott Vacation Club, Grand Residences by Marriott and Ritz-Carlton Destination Club weeks-based vacation ownership products in the 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under the Marriott Vacation Club brand in Europe and Asia Pacific and under the Grand Residences by Marriott brand in Europe.</w:t>
      </w:r>
    </w:p>
    <w:p>
      <w:pPr>
        <w:spacing w:after="0" w:line="14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As part of the launch of the MVCD program in mid-2010, we offered our existing Marriott Vacation Club owners who held weeks-based products in the United States and Caribbean the opportunity to participate in the MVCD program on a voluntary basis. In mid-2012, we began offering owners who held weeks-based products in Europe the opportunity to participate in the MVCD program. All existing owners, whether or not they elected to participate in the MVCD program, retained their existing rights and privileges of vacation ownership. Owners who elected to participate in the program received the ability to trade their weeks-based intervals usage for vacation club points usage each year, subject to payment of an initial enrollment fee and annual fees. As of the end of 2012, almost 125,000 weeks-based owners have enrolled over 214,000 weeks in the MVCD program since its launch and, of these owners who have enrolled weeks with one of our sales executives, approximately 45 percent have also purchased MVCD points.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principal source of revenue is the sale of vacation ownership interests. See “—Marketing and Sales Activities” below for information regarding our marketing and sales activities.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 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from fees we earn for managing each of our resorts. See “—Property Management Activities” below for additional information on the terms of our management agreements. In addition, we receive annual fees from members of the MVCD program. We also earn revenue from food and beverage offerings, golf courses and spas at our various resorts.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Revenue</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earn interest income on loans that we provide to purchasers of our vacation ownership interests, as well as loan servicing and other fees. See “— Consumer Financing” below for further information regarding our consumer financing activities.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 Revenue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generate rental revenue from transient rentals of inventory we hold for sale as interests in our vacation ownership programs or as residences, or inventory that we control because our owners have elected alternative usage options permitted under our vacation ownership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sell our upscale tier vacation ownership products under the Marriott Vacation Club brand primarily through our worldwide network of resort-based sales centers and certain off-site sales locations. The Marriott Vacation Club products are currently marketed for sale throughout the United States and in over 30 countries around the world, targeting customers who vacation regularly with a focus on family, relaxation and recreational activities. In 2012, approximately 84 percent of our sales originated at one of our sales centers that are co-located with one of our resorts. We maintain a range of different off-site sales centers, including our central telesales organization based in Orlando, our network of third-party brokers in Latin America and our city-based sales centers, such as our sales centers in Dubai and Singapore. We have over 50 global sales locations focused on the sale of Marriott Vacation Club products. We utilize a number of marketing channels to attract qualified customers to our sales locations for our Marriott Vacation Club vacation ownership products. Historically, approximately one-third of our annual sales revenues were from purchases by existing owners. Since 2008, in response to decreased consumer demand, we curtailed some of our higher cost marketing channels and, more recently, beginning in the middle of 2010, we focused our initial MVCD sales activities on existing Marriott Vacation Club owners due to the conversion to a points-based product. In 2012, the percentage of sales of vacation ownership products to our owners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increased to approximately 63 percent. We solicit our owners to add to their ownership primarily while they are staying in our resorts. We also offer our owners the opportunity to make additional purchases through direct phone sales, owner events and inquiries from our central customer service center located in Salt Lake City, Utah. We offer customers who are referred to us by our owners discounted stays at our resorts and conduct scheduled sales tours while they are on-site. Where allowed by regulation, we offer Marriott Rewards Points to our owners when their referral candidates tour with us or buy vacation ownership interests from us.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also market to existing Marriott Rewards customer loyalty program members and travelers who are staying in locations where we have resorts. We market extensively to guests in Marriott International hotels that are located near one of our sales locations. In addition, we operate other local marketing venues in various high-traffic areas. A significant part of our direct marketing activities are focused on prospects in the Marriott Rewards customer loyalty program database and in-house database of qualified prospects. Guests who do not buy a vacation ownership interest during their initial tour are offered a special package for another stay at our resorts within a year. These return guests are typically twice as likely to purchase as a first time visitor.</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Marriott Vacation Club sales tours are designed to provide our guests with an in-depth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Marriott Vacation Club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believe consumers place a great deal of trust in the Marriott and Ritz-Carlton brands and the strength of these brands is important to our ability to attract qualified prospects in the marketplace. We maintain a prominent presence on the www.marriott.com and www.ritzcarlton.com websites. Our proprietary sites, which include www.marriottvacationsworldwide.com, www.marriottvacationclub.com and www.ritzcarltonclub.com, had over 6,000,000 visits in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We secure inventory by building multiple phases at our existing resorts, repurchasing inventory in the secondary market, developing resorts in strategic markets, acquiring built inventory at new locations, and establishing fee-based marketing and management agreements with real estate developers.</w:t>
      </w:r>
    </w:p>
    <w:p>
      <w:pPr>
        <w:spacing w:after="0" w:line="8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After selecting a site we believe is suitable for development and attractive to customers, we typically complete the development of a new resort’s design and entitlement process within one year from the acquisition of the land. We typically complete the basic infrastructure of the resort within the following year, and generally deliver units and core amenities, such as pools and food and beverage facilities, during the initial phase of the development six to nine months after the infrastructure is completed. We pace our construction to align with demand trends.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intend to place most of our remaining Ritz-Carlton branded inventory into the MVCD program. We believe this strategy will allow us to sell the inventory faster, thereby reducing our near term inventory spending. Further, we recently expanded our existing vacation ownership interest repurchase program. We are proactively buying back previously sold vacation ownership interests under this repurchase program at lower costs than would be required to develop new inventory. By repurchasing inventory in desirable locations we expect to be able to stabilize the future cost of vacation ownership products for the next several years.</w:t>
      </w:r>
    </w:p>
    <w:p>
      <w:pPr>
        <w:spacing w:after="0" w:line="14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Approximately one-third of our vacation ownership resorts are co-located with Marriott International and Ritz-Carlton hotel properties. Co-location of our resorts with Marriott International or Ritz-Carlton 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have been available for the resort on a stand-alone basis. Shared infrastructure can also reduce our overall development costs for our resorts on a per unit basis. Integration of services and sharing staff and other expenses can lower overhead and operating costs for our resorts. Our on-site access to hotel customers, including Marriott Rewards customer loyalty program members, who are visiting co-located hotels also provides us with a cost-effective marketing channel for our vacation ownership products.</w:t>
      </w:r>
    </w:p>
    <w:p>
      <w:pPr>
        <w:spacing w:after="0" w:line="14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Ritz-Carlton allow for the development of co-located properties in the future, and we intend to pursue co-located projects with them opportunistically.</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our points-based business model, we are able to supply many sales offices with new inventory from a small number of resort locations, which provides us with greater efficiency in the use of our capital. As a result, our risk associated with construction delays is concentrated in fewer locations than it has been in the past. Additionally, selling vacation ownership interests in a system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resorts under a points-based business model increases the risk of temporary inventory depletion. We sell vacation ownership interests denominated in points from a single trust entity in each of our North America and Asia Pacific business segments. Thus, the primary source of inventory for each segment is concentrated in its corresponding trust. To avoid the risk of temporary inventory depletion, we employ a strategy of seeking to maintain a six- to nine-month surplus supply of completed inventory. Even in the unlikely event that this surplus is not sufficient, we believe that the actual risk of temporary inventory depletion is relatively minor, as there are other mitigation strategies that could be employed to prevent such an occurrence, such as accelerating completion of resorts under construction, acquiring vacation ownership interests on the secondary market, or reducing sales pace by adjusting prices or sales incentives.</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the owner receives certain entitlements, such as the right to reserve a resort unit that underlies their vacation ownership interest in order to occupy that unit or exchange its use for use of a unit at another resort through an outside exchange company, that are tied to the underlying vacation ownership interest, as well as benefits that are incidental to the purchase of the vacation ownership interest. While a purchaser on the secondary market will receive all of the entitlements that are tied to the underlying vacation ownership interest, the purchaser is not entitled to receive certain incidental benefits. For example, owners who purchase our products on the secondary market are not entitled to trade their usage rights for Marriott Rewards Points. Owners of our points-based products who do not purchase from us are not entitled to have access to our internal exchange program and are not entitled to trade their usage rights for Marriott Rewards Points. Therefore, those owners are only entitled to use the inventory that underlies the vacation ownership interests they purchased. Additionally, most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company membership dues or service fees.</w:t>
      </w:r>
    </w:p>
    <w:p>
      <w:pPr>
        <w:spacing w:after="0" w:line="12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own certain parcels of undeveloped land that we originally acquired for vacation ownership development, as well as built Luxury inventory, including unfinished units. Given our strategies to match completed inventory with our sales pace and to pursue future “asset light” development opportunities, we have implemented a plan to dispose of certain undeveloped land and built Luxury inventory. As a result, we refer to this land and inventory as “excess.” Based on our current plans, we believe we have identified all excess land and inventory. However, if our future plans change, the planned use of such assets may change. Further, to the extent that real estate market conditions change, our estimates of the fair value of such assets may change.</w:t>
      </w:r>
    </w:p>
    <w:p>
      <w:pPr>
        <w:spacing w:after="0" w:line="116"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As discussed in more detail in Footnote No. 16, “Impairment Charges,” of the Notes to our Financial Statements, in preparation for the Spin-Off, management assessed the intended use of excess undeveloped land and built inventory and the current market conditions for those assets. In 2011, management approved a plan to accelerate cash flow through the monetization of certain excess undeveloped land in the United States, Mexico, and the Bahamas and to accelerate sales of excess built Luxury fractional and residential inventory. As a result, in accordance with the guidance for accounting for the impairment or disposal of long-lived assets, because the nominal cash flows from the planned land sales and the estimated fair values of the land and excess built Luxury inventory were less than their respective carrying values, in 2011 we recorded a pre-tax non-cash impairment charge of $324 million ($234 million after-tax) in our Statement of Operations under the “Impairment” caption. No impairment charges were recorded in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Management Activities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enter into a management agreement with the property owners’ association at each of our resorts or, in the case of resorts held by a trust, with the associated trust. In exchange for a management fee, we typically provide owner account management (reservations and usage selection), housekeeping, check-in, maintenance and billing and collections services. The management fee is typically based on either a percentage of total cost to operate such resorts or a fixed fee arrangement. We earn these fees regardless of usage or occupancy. We also receive revenues that represent reimbursement for certain costs we incur under our management agreements, principally related to payroll costs, at the locations where we employ the associates providing on-site services.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In our 28-year history, our management agreements for most of our resorts have been regularly renewed. When our management agreement for a Marriott Vacation Club branded resort expires or is terminated, the resort loses the ability to use the Marriott name and trademarks. The owners at such resorts also lose their ability to trade their vacation ownership usage rights for Marriott Rewards Points and to access other Marriott Vacation Club resorts through our internal exchange system.</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Ritz-Carlton manages the on-site operations for substantially all Ritz-Carlton Destination Club and Ritz-Carlton Residences properties under separate management agreements with us or the relevant property owners’ association or trust for each property. We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provide property owners’ association governance and vacation ownership program management services for the Ritz-Carlton Destination Club properties, including preparing association budgets, facilitating association meetings, billing and collecting maintenance fees, and supporting reservations, vacation experience planning and other off-site member services. We and Ritz-Carlton split the management fees equally for these resorts. If a management agreement for a resort expires or is terminated, the resort loses the ability to use the Ritz-Carlton name and trademarks. The owners at such resorts also lose their ability to access other Ritz-Carlton Destination Club usage benefits, such as access to accommodations at the other Ritz-Carlton Destination Club resorts, preferential access to Ritz-Carlton hotels worldwide and access to our internal exchange and vacation travel options.</w:t>
      </w:r>
    </w:p>
    <w:p>
      <w:pPr>
        <w:spacing w:after="0" w:line="12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Each management agreement requires the property owners’ association or trust to provide sufficient funds to pay for the vacation ownership program and resort operating costs. To satisfy this requirement, owners of vacation ownership interests pay an annual maintenance fee. This fee represents the owner’s allocable share of the costs of operating and maintaining the vacation ownership resorts,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assets (such as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customary level for owners who purchase in the early stages of development.</w:t>
      </w:r>
    </w:p>
    <w:p>
      <w:pPr>
        <w:spacing w:after="0" w:line="12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event of a default by an owner in payment of maintenance fees or other assessments, the property owners’ association typically has the right to foreclose on or revoke the defaulting owner’s vacation ownership interest. We have entered into arrangements with several property owners’ associations to assist in reselling foreclosed or revoked vacation ownership interests in exchange for a fee or to reacquire such foreclosed or revoked vacation ownership interests from the property owners’ associations.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We offer purchase money financing for qualified purchasers of our vacation ownership products. By offering or eliminating financing incentives and modifying underwriting standards, we have been able to increase or decrease our financing activities depending on market conditions.</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our North America segment in 2012, approximately 42 percent of Marriott Vacation Club customers financed their purchase with us. The average loan for our Marriott Vacation Club products totaled approximately $22,000, which represented 89 percent of the average purchase price. Our policy is to require a minimum down payment of 10 percent of the purchase price for qualified applicants, although down payments and interest rates are typically higher for applicants with credit scores below certain levels and for purchasers who do not have credit scores, such as non-U.S. purchasers. The average interest rate for loans for our Marriott Vacation Club products made in 2012 was 11.98 percent and the average term was 9.7 years. Interest rates are fixed, and a loan fully amortizes over the life of the loan. The average monthly mortgage payment for a Marriott Vacation Club owner who received a loan in 2012 was $420. Historically, approximately 17 percent of borrowers prepay their loan within the first six months.</w:t>
      </w:r>
    </w:p>
    <w:p>
      <w:pPr>
        <w:spacing w:after="0" w:line="118"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Generally, loans for our Ritz-Carlton Destination Club products have a significantly higher balance, a longer term and a lower interest rate than loans for our Marriott Vacation Club products. In 2012, approximately 21 percent of Ritz-Carlton Destination Club owners financed their purchase with us. We generally do not provide financing to residential buyers.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2012, approximately 82 percent of our loans were used to finance U.S.-based products. In our North American business, we perform a credit investigation or other review or inquiry to determine the purchaser’s credit history before extending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2012, the average FICO score of our customers who were U.S. citizens or residents who financed a vacation ownership purchase was 729; 67 percent had a credit score of over 700, 87 percent had a credit score of over 650 and over 97 percent had a credit score of over 600.</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In the event of a default, we generally have the right to foreclose on or revoke the defaulting owner’s vacation ownership interest. We typically resell interests that we reacquire through foreclosure.</w:t>
      </w:r>
    </w:p>
    <w:p>
      <w:pPr>
        <w:spacing w:after="0" w:line="132"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We securitize the majority of the consumer loans we originate in support of our North American business. Historically, we have sold these loans to institutional investors in the asset-backed securities (“ABS”) market on a non-recourse basis, completing transactions once or twice each year. In 2012, we completed a transaction securitizing $250 million of vacation ownership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receivable at a weighted average interest rate of 2.625 percent and an advance rate of 95 percent. This transaction generated approximately $238 million of gross cash proceeds. Net cash proceeds after transaction costs, cash reserves and repayment of amounts outstanding under our non-recourse warehouse credit facility (the “Warehouse Credit Facility”) were $132 million. On an ongoing basis, we have the ability to use the Warehouse Credit Facility to securitize eligible consumer loans. Those loans may later be transferred to term securitizations transactions in the ABS market, which we intend to complete at least once a year. Excluding amounts securitized through the Warehouse Credit Facility, since the early 1990s, we have securitized over $4.8 billion of loans. We retain the servicing and collection responsibilities for the loans we securitize, for which we receive a servicing fee.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96"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believe that competition in the vacation ownership industry is based primarily on the quality, number and location of vacation ownership resorts, trust in the brand, pricing of product offerings and the availability of program benefits, such as exchange programs and access to affiliated hotel networks. Vacation ownership is a vacation option that is positioned and sold as an attractive alternative to vacation rentals (such as hotels, resorts and condominium rentals) and second home ownership. The various segments within the vacation ownership industry are differentiated by the quality level of the accommodations, range of services and ancillary offerings, and price. We believe that we have significant competitive advantages that support our leadership position in the vacation ownership industry.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 leading global “pure-play” vacation ownership company</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one of the world’s largest “pure-play” vacation ownership companies (that is, a company whose business is focused almost entirely on vacation ownership), based on number of owners, number of resorts and revenues. As a “pure-play” vacation ownership company, we are able to enhance our focus on the vacation ownership industry and tailor our business strategy to address our company’s industry-specific goals and needs.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our scale and global reach, coupled with our renowned brands and development, marketing, sales and management expertise, help us achieve operational efficiencies and support future growth opportunities. Our size allows us to provide owners with a wide variety of experiences within our resort portfolio. We also believe our size helps us obtain better financing terms from lenders, achieve cost savings in procurement and attract talented management and associates.</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breadth and depth of our operations enables us to offer a variety of products. We cater to a diverse range of customers through our upscale tier Marriott-branded resorts and our luxury tier Ritz-Carlton branded resorts.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Premier global brands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our exclusive licenses of the Marriott and Ritz-Carlton brands for use in the vacation ownership business provide us with a meaningful competitive advantage. Marriott International is a leading lodging company with more than 3,700 properties in 74 countries and territories, including Marriott and Ritz-Carlton branded properties. Consumer confidence in these renowned brands helps us attract and retain guests and owners. In addition, we provide our customers with access to the award-winning Marriott Rewards customer loyalty program. We also utilize the Marriott and Ritz-Carlton websites, www.marriott.com and www.ritzcarlton.com, as relatively low-cost marketing tools to introduce Marriott and Ritz-Carlton guests to our products and rent available inventory.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Loyal, highly satisfied customers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have a large, highly satisfied customer base. In 2012, based on nearly 229,000 survey responses, 89 percent of respondents indicated that they were highly satisfied with our products, sales, owner services and their on-site experiences (by selecting 8, 9 or 10 on a 10-point scale). Owner satisfaction is also demonstrated by the fact that our average resort occupancy was 89 percent in 2012, significantly higher than the overall vacation ownership industry average of nearly 80 percent in 2011, the most recent year for which data has been reported by ARDA. We believe that strong customer satisfaction and brand loyalty result in more frequent use of our products and encourage owners to purchase additional products and to recommend our products to friends and family, which in turn generates higher revenues.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Long-standing track record, experienced management and engaged associates</w:t>
      </w:r>
    </w:p>
    <w:p>
      <w:pPr>
        <w:spacing w:after="0" w:line="90" w:lineRule="exact"/>
        <w:rPr>
          <w:sz w:val="20"/>
          <w:szCs w:val="20"/>
          <w:color w:val="auto"/>
        </w:rPr>
      </w:pPr>
    </w:p>
    <w:p>
      <w:pPr>
        <w:jc w:val="both"/>
        <w:ind w:right="460" w:firstLine="456"/>
        <w:spacing w:after="0" w:line="303" w:lineRule="auto"/>
        <w:rPr>
          <w:sz w:val="20"/>
          <w:szCs w:val="20"/>
          <w:color w:val="auto"/>
        </w:rPr>
      </w:pPr>
      <w:r>
        <w:rPr>
          <w:rFonts w:ascii="Arial" w:cs="Arial" w:eastAsia="Arial" w:hAnsi="Arial"/>
          <w:sz w:val="15"/>
          <w:szCs w:val="15"/>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 Mr. Weisz has served as President of our company since 1996 and has over 40 years of combined experience at Marriott International and Marriott Vacations Worldwide.</w:t>
      </w:r>
    </w:p>
    <w:p>
      <w:pPr>
        <w:spacing w:after="0" w:line="1"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William J. Shaw, the Chairman of our Board, is the former Vice Chairman, President and Chief Operating Officer of Marriott International and had nearly 37 years of experience at Marriott International. Our nine executive officers have an average of nearly 21 years of total combined experience at Marriott International and Marriott Vacations Worldwide, with approximately half of those years spent leading our business. We believe our management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team’s extensive public company and vacation ownership industry experience will enable us to continue to respond quickly and effectively to changing market conditions and consumer trends. Management’s experience in the highly regulated vacation ownership industry should also provide us with a competitive advantage in expanding product forms and developing new ones.</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believe that our associates provide superior customer service, which enhances our competitive position. We leverage outstanding associate engagement and strong corporate culture to deliver positive customer experiences in sales, marketing and resort operations. We survey our associates regularly through an external survey provider to understand their satisfaction and engagement, defined as how passionate employees are about the company’s mission and their willingness to “go the extra mile” to see it succeed. We routinely rank highly compared to other companies participating in such surveys. In 2012, 82 percent of our associates indicated that they were “engaged,” which is two points above Aon Hewitt’s “Global Best Employer” benchmark of 80 percent. This external benchmark is based on research conducted by Aon Hewitt of more than 500 organizations that are considered to be “Best Employers.”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Drive profitable sales growth</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continue to generate growth in vacation ownership sales by leveraging our globally recognized brand names and focusing on our approximately 421,000 owners around the world. After we launched the MVCD program in 2010, we focused on educating our existing owners about, and enrolling them in, the MVCD program during 2010 and 2011. We have returned our focus to generating a greater number of new owners and realigned our sales strategy to generate sales from a mix of new and existing owners similar to our historical sales prior to 2010. We have also expanded marketing activities intended to generate cost effective tours from new customer sources. We continue to focus on improving development margin through more efficient marketing and sales spending and managing inventory costs and development activities.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well-positioned to grow our stable and recurring revenue streams by capitalizing on the growth of vacation ownership sales to generate associated management and other fees and financing revenues. We expect to continue to offer our customers attractive financing alternatives, and we believe that by opportunistically securitizing vacation ownership notes receivable, we can enhance our profitability and liquidity. As we expand our points-based system, we also expect to generate additional fee revenues because our owners pay us annual fees to participate our internal exchange program.</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Maximize cash flow and optimize our capital structure</w:t>
      </w:r>
    </w:p>
    <w:p>
      <w:pPr>
        <w:spacing w:after="0" w:line="9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Through the use of our points-based products, we are able to more closely match inventory development with sales pace and reduce inventory levels, thereby improving our cash flows over time. Additionally, by limiting the amount of completed inventory on hand, we are able to reduce the maintenance fees that we pay on unsold units. Over the last few years, we have significantly reduced our costs, and we intend to continue to control costs as sales volumes grow.</w:t>
      </w:r>
    </w:p>
    <w:p>
      <w:pPr>
        <w:spacing w:after="0" w:line="8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expect our modest level of debt and limited near-term capital needs will enable us to maintain a level of liquidity that ensures financial flexibility, giving us the ability to pursue strategic growth opportunities, withstand potential future economic downturns and optimize our cost of capital. We intend to meet our liquidity needs through operating cash flow, the disposition of excess undeveloped land and excess built luxury inventory, our $200 million revolving credit facility (the “Revolving Corporate Credit Facility”), our Warehouse Credit Facility and continued access to the ABS term financing market.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Focus on our owners, guests and associates</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We are in the business of providing high-quality vacation experiences to our owners and guests around the world. We intend to maintain and improve their satisfaction with our products and services, particularly since our owners and guests are our most cost-effective sales channels. We intend to continue to sell our products through these very effective channels and believe that maintaining a high level of engagement across all of our customer groups is key to our success.</w:t>
      </w:r>
    </w:p>
    <w:p>
      <w:pPr>
        <w:spacing w:after="0" w:line="8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a company takes care of its associates, they will take care of the company’s guests and the guests will return again and again.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Opportunistically dispose of excess assets and selectively pursue “asset light” deal structures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intend to dispose of certain excess assets over the next few years and deploy the capital from these sales more effectively. The majority of these dispositions consist of undeveloped land holdings. We expect these assets will be marketed and sold as the real estate markets in the respective locations of these assets improve.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do not need to develop new resorts at this time, we intend to selectively pursue external growth opportunities by targeting high-quality inventory sources that allow us to add desirable new locations to our system, such as in Asia to support growth in that region, as well as new sales locations through transactions that do not involve or limit our capital investment. These “asset light” deals could be structured as turn-key developments with third-party partners, purchases of constructed inventory just prior to sale, or fee-for-service arrangements.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Selectively pursue compelling new business opportunities</w:t>
      </w:r>
    </w:p>
    <w:p>
      <w:pPr>
        <w:spacing w:after="0" w:line="90"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As an independent company, we are positioned to explore new business opportunities, such as development of our exchange activities, new management affiliations and select on-site ancillary businesses, which we may not have previously pursued as part of Marriott International. We intend to selectively pursue these types of opportunities with a focus on driving recurring streams of revenue and profit. Prior to entering into any new business, we will evaluate its strategic fit and assess whether it is complementary to our current business, has strong expected financial returns and leverages our existing competencies.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operations are grouped into four business segments: North America, Luxury, Europe and Asia Pacific. The “Corporate and Other” information described below includes activities that do not collectively comprise a separate reportable segment.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revenue for 2012 for each of our segments and each of our revenue sources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87"/>
              </w:rPr>
              <w:t>Revenue Source</w:t>
            </w:r>
          </w:p>
        </w:tc>
        <w:tc>
          <w:tcPr>
            <w:tcW w:w="3820" w:type="dxa"/>
            <w:vAlign w:val="bottom"/>
            <w:vMerge w:val="restart"/>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North</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Borders>
              <w:bottom w:val="single" w:sz="8" w:color="auto"/>
            </w:tcBorders>
            <w:vMerge w:val="continue"/>
          </w:tcPr>
          <w:p>
            <w:pPr>
              <w:spacing w:after="0"/>
              <w:rPr>
                <w:sz w:val="14"/>
                <w:szCs w:val="14"/>
                <w:color w:val="auto"/>
              </w:rPr>
            </w:pPr>
          </w:p>
        </w:tc>
        <w:tc>
          <w:tcPr>
            <w:tcW w:w="382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America</w:t>
            </w:r>
          </w:p>
        </w:tc>
        <w:tc>
          <w:tcPr>
            <w:tcW w:w="240" w:type="dxa"/>
            <w:vAlign w:val="bottom"/>
          </w:tcPr>
          <w:p>
            <w:pPr>
              <w:spacing w:after="0"/>
              <w:rPr>
                <w:sz w:val="14"/>
                <w:szCs w:val="14"/>
                <w:color w:val="auto"/>
              </w:rPr>
            </w:pPr>
          </w:p>
        </w:tc>
        <w:tc>
          <w:tcPr>
            <w:tcW w:w="6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Luxury</w:t>
            </w:r>
          </w:p>
        </w:tc>
        <w:tc>
          <w:tcPr>
            <w:tcW w:w="240" w:type="dxa"/>
            <w:vAlign w:val="bottom"/>
          </w:tcPr>
          <w:p>
            <w:pPr>
              <w:spacing w:after="0"/>
              <w:rPr>
                <w:sz w:val="14"/>
                <w:szCs w:val="14"/>
                <w:color w:val="auto"/>
              </w:rPr>
            </w:pPr>
          </w:p>
        </w:tc>
        <w:tc>
          <w:tcPr>
            <w:tcW w:w="6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Europe</w:t>
            </w:r>
          </w:p>
        </w:tc>
        <w:tc>
          <w:tcPr>
            <w:tcW w:w="240" w:type="dxa"/>
            <w:vAlign w:val="bottom"/>
          </w:tcPr>
          <w:p>
            <w:pPr>
              <w:spacing w:after="0"/>
              <w:rPr>
                <w:sz w:val="14"/>
                <w:szCs w:val="14"/>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Asia Pacific</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Vacation ownership sales</w:t>
            </w:r>
          </w:p>
        </w:tc>
        <w:tc>
          <w:tcPr>
            <w:tcW w:w="2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529</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w:t>
            </w: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Resort management and other services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Rental</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8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1,363</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121</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Financial information by segment and geographic area for 2012, 2011 and 2010 appears in Footnote No. 19, “Business Segments,” of the Notes to our Financial Statements.</w:t>
      </w:r>
    </w:p>
    <w:p>
      <w:pPr>
        <w:spacing w:after="0" w:line="132"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We generally own the unsold vacation ownership inventory at our properties as either a deeded beneficial interest in a real estate land trust, a deeded interest at a specific resort, or a right to use interest in real estate owned or leased by a trust or other property owning or leasing vehicle (these forms of ownership are described in more detail in “Business—Our Products”), except as otherwise indicated in the table that follows. With respect to inventory that has not yet been converted into one of these forms of vacation ownership, we generally hold a fee interest in the underlying real estate rights to the land parcel, building or units corresponding to such inventory. Further, we also own or lease other property at these resorts, including golf courses, fitness, spa and sports facilities, food and beverage outlets, resort lobbies and other common area assets. See Footnote No. 9, “Contingencies and Commitments,” of the Notes to our Financial Statements for more information on our golf course land leases and other operating leases. As discussed in “Our Credit Facilities and Our Future Cash Flows,” substantially all of our ownership and leasehold interests in these properties, subject to certain exceptions, are pledged as collateral for our Revolving Corporate Credit Facility.</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Properties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December 28, 2012, we had 64 properties (operating under 86 management contracts) with 13,029 vacation ownership villas (“units”) and approximately 421,000 owners. The following table shows our vacation ownership and residential properties as of December 28, 2012, and indicates the segment that operates such property: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Vacation</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Ownership</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Additional</w:t>
            </w:r>
          </w:p>
        </w:tc>
        <w:tc>
          <w:tcPr>
            <w:tcW w:w="0" w:type="dxa"/>
            <w:vAlign w:val="bottom"/>
          </w:tcPr>
          <w:p>
            <w:pPr>
              <w:spacing w:after="0"/>
              <w:rPr>
                <w:sz w:val="1"/>
                <w:szCs w:val="1"/>
                <w:color w:val="auto"/>
              </w:rPr>
            </w:pPr>
          </w:p>
        </w:tc>
      </w:tr>
      <w:tr>
        <w:trPr>
          <w:trHeight w:val="134"/>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Property</w:t>
            </w:r>
            <w:r>
              <w:rPr>
                <w:rFonts w:ascii="Arial" w:cs="Arial" w:eastAsia="Arial" w:hAnsi="Arial"/>
                <w:sz w:val="22"/>
                <w:szCs w:val="22"/>
                <w:b w:val="1"/>
                <w:bCs w:val="1"/>
                <w:color w:val="auto"/>
                <w:w w:val="84"/>
                <w:vertAlign w:val="superscript"/>
              </w:rPr>
              <w:t>(1)</w:t>
            </w:r>
          </w:p>
        </w:tc>
        <w:tc>
          <w:tcPr>
            <w:tcW w:w="342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(VO) or</w:t>
            </w:r>
          </w:p>
        </w:tc>
        <w:tc>
          <w:tcPr>
            <w:tcW w:w="7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Units</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w w:val="95"/>
              </w:rPr>
              <w:t>Planned</w:t>
            </w: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Segment</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Experience</w:t>
            </w:r>
          </w:p>
        </w:tc>
        <w:tc>
          <w:tcPr>
            <w:tcW w:w="1840" w:type="dxa"/>
            <w:vAlign w:val="bottom"/>
            <w:gridSpan w:val="2"/>
          </w:tcPr>
          <w:p>
            <w:pPr>
              <w:ind w:left="560"/>
              <w:spacing w:after="0"/>
              <w:rPr>
                <w:sz w:val="20"/>
                <w:szCs w:val="20"/>
                <w:color w:val="auto"/>
              </w:rPr>
            </w:pPr>
            <w:r>
              <w:rPr>
                <w:rFonts w:ascii="Arial" w:cs="Arial" w:eastAsia="Arial" w:hAnsi="Arial"/>
                <w:sz w:val="14"/>
                <w:szCs w:val="14"/>
                <w:b w:val="1"/>
                <w:bCs w:val="1"/>
                <w:color w:val="auto"/>
              </w:rPr>
              <w:t>Location</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Residential</w:t>
            </w:r>
          </w:p>
        </w:tc>
        <w:tc>
          <w:tcPr>
            <w:tcW w:w="700" w:type="dxa"/>
            <w:vAlign w:val="bottom"/>
            <w:gridSpan w:val="2"/>
          </w:tcPr>
          <w:p>
            <w:pPr>
              <w:jc w:val="center"/>
              <w:ind w:right="280"/>
              <w:spacing w:after="0" w:line="162" w:lineRule="exact"/>
              <w:rPr>
                <w:sz w:val="20"/>
                <w:szCs w:val="20"/>
                <w:color w:val="auto"/>
              </w:rPr>
            </w:pPr>
            <w:r>
              <w:rPr>
                <w:rFonts w:ascii="Arial" w:cs="Arial" w:eastAsia="Arial" w:hAnsi="Arial"/>
                <w:sz w:val="12"/>
                <w:szCs w:val="12"/>
                <w:b w:val="1"/>
                <w:bCs w:val="1"/>
                <w:color w:val="auto"/>
              </w:rPr>
              <w:t>Built</w:t>
            </w:r>
            <w:r>
              <w:rPr>
                <w:rFonts w:ascii="Arial" w:cs="Arial" w:eastAsia="Arial" w:hAnsi="Arial"/>
                <w:sz w:val="18"/>
                <w:szCs w:val="18"/>
                <w:b w:val="1"/>
                <w:bCs w:val="1"/>
                <w:color w:val="auto"/>
                <w:vertAlign w:val="superscript"/>
              </w:rPr>
              <w:t>(2)</w:t>
            </w:r>
          </w:p>
        </w:tc>
        <w:tc>
          <w:tcPr>
            <w:tcW w:w="680" w:type="dxa"/>
            <w:vAlign w:val="bottom"/>
            <w:gridSpan w:val="2"/>
          </w:tcPr>
          <w:p>
            <w:pPr>
              <w:jc w:val="right"/>
              <w:ind w:right="160"/>
              <w:spacing w:after="0" w:line="162" w:lineRule="exact"/>
              <w:rPr>
                <w:sz w:val="20"/>
                <w:szCs w:val="20"/>
                <w:color w:val="auto"/>
              </w:rPr>
            </w:pPr>
            <w:r>
              <w:rPr>
                <w:rFonts w:ascii="Arial" w:cs="Arial" w:eastAsia="Arial" w:hAnsi="Arial"/>
                <w:sz w:val="12"/>
                <w:szCs w:val="12"/>
                <w:b w:val="1"/>
                <w:bCs w:val="1"/>
                <w:color w:val="auto"/>
              </w:rPr>
              <w:t>Units</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36"/>
        </w:trPr>
        <w:tc>
          <w:tcPr>
            <w:tcW w:w="40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47 Park Street-Grand Residences by Marriott</w:t>
            </w:r>
          </w:p>
        </w:tc>
        <w:tc>
          <w:tcPr>
            <w:tcW w:w="152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8"/>
              </w:rPr>
              <w:t>Europe</w:t>
            </w:r>
          </w:p>
        </w:tc>
        <w:tc>
          <w:tcPr>
            <w:tcW w:w="20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9"/>
              </w:rPr>
              <w:t>Urban</w:t>
            </w:r>
          </w:p>
        </w:tc>
        <w:tc>
          <w:tcPr>
            <w:tcW w:w="20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London, UK</w:t>
            </w:r>
          </w:p>
        </w:tc>
        <w:tc>
          <w:tcPr>
            <w:tcW w:w="2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8"/>
              </w:rPr>
              <w:t>VO</w:t>
            </w:r>
          </w:p>
        </w:tc>
        <w:tc>
          <w:tcPr>
            <w:tcW w:w="2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49</w:t>
            </w:r>
          </w:p>
        </w:tc>
        <w:tc>
          <w:tcPr>
            <w:tcW w:w="2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ind w:right="14"/>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Aruba Ocean Club</w:t>
            </w: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North America</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6"/>
              </w:rPr>
              <w:t>Island/Beach</w:t>
            </w: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Aruba</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2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Aruba Surf Club</w:t>
            </w:r>
          </w:p>
        </w:tc>
        <w:tc>
          <w:tcPr>
            <w:tcW w:w="1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North America</w:t>
            </w:r>
          </w:p>
        </w:tc>
        <w:tc>
          <w:tcPr>
            <w:tcW w:w="15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6"/>
              </w:rPr>
              <w:t>Island/Beach</w:t>
            </w: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Aruba</w:t>
            </w:r>
          </w:p>
        </w:tc>
        <w:tc>
          <w:tcPr>
            <w:tcW w:w="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Barony Beach Club</w:t>
            </w:r>
          </w:p>
        </w:tc>
        <w:tc>
          <w:tcPr>
            <w:tcW w:w="1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North America</w:t>
            </w: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5"/>
              </w:rPr>
              <w:t>Beach</w:t>
            </w:r>
          </w:p>
        </w:tc>
        <w:tc>
          <w:tcPr>
            <w:tcW w:w="184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2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BeachPlace Towers</w:t>
            </w:r>
          </w:p>
        </w:tc>
        <w:tc>
          <w:tcPr>
            <w:tcW w:w="17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North America</w:t>
            </w:r>
          </w:p>
        </w:tc>
        <w:tc>
          <w:tcPr>
            <w:tcW w:w="1560" w:type="dxa"/>
            <w:vAlign w:val="bottom"/>
            <w:gridSpan w:val="2"/>
            <w:shd w:val="clear" w:color="auto" w:fill="CCEEFF"/>
          </w:tcPr>
          <w:p>
            <w:pPr>
              <w:jc w:val="center"/>
              <w:ind w:right="180"/>
              <w:spacing w:after="0" w:line="149" w:lineRule="exact"/>
              <w:rPr>
                <w:sz w:val="20"/>
                <w:szCs w:val="20"/>
                <w:color w:val="auto"/>
              </w:rPr>
            </w:pPr>
            <w:r>
              <w:rPr>
                <w:rFonts w:ascii="Arial" w:cs="Arial" w:eastAsia="Arial" w:hAnsi="Arial"/>
                <w:sz w:val="14"/>
                <w:szCs w:val="14"/>
                <w:color w:val="auto"/>
                <w:w w:val="85"/>
              </w:rPr>
              <w:t>Beach</w:t>
            </w:r>
          </w:p>
        </w:tc>
        <w:tc>
          <w:tcPr>
            <w:tcW w:w="1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Fort Lauderdale, FL</w:t>
            </w:r>
          </w:p>
        </w:tc>
        <w:tc>
          <w:tcPr>
            <w:tcW w:w="8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4080" w:type="dxa"/>
            <w:vAlign w:val="bottom"/>
            <w:gridSpan w:val="2"/>
          </w:tcPr>
          <w:p>
            <w:pPr>
              <w:spacing w:after="0"/>
              <w:rPr>
                <w:sz w:val="20"/>
                <w:szCs w:val="20"/>
                <w:color w:val="auto"/>
              </w:rPr>
            </w:pPr>
            <w:r>
              <w:rPr>
                <w:rFonts w:ascii="Arial" w:cs="Arial" w:eastAsia="Arial" w:hAnsi="Arial"/>
                <w:sz w:val="14"/>
                <w:szCs w:val="14"/>
                <w:color w:val="auto"/>
              </w:rPr>
              <w:t>Canyon Villas at Desert Ridge</w:t>
            </w:r>
          </w:p>
        </w:tc>
        <w:tc>
          <w:tcPr>
            <w:tcW w:w="172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North America</w:t>
            </w: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Golf/Desert</w:t>
            </w:r>
          </w:p>
        </w:tc>
        <w:tc>
          <w:tcPr>
            <w:tcW w:w="1840" w:type="dxa"/>
            <w:vAlign w:val="bottom"/>
            <w:gridSpan w:val="2"/>
          </w:tcPr>
          <w:p>
            <w:pPr>
              <w:spacing w:after="0"/>
              <w:rPr>
                <w:sz w:val="20"/>
                <w:szCs w:val="20"/>
                <w:color w:val="auto"/>
              </w:rPr>
            </w:pPr>
            <w:r>
              <w:rPr>
                <w:rFonts w:ascii="Arial" w:cs="Arial" w:eastAsia="Arial" w:hAnsi="Arial"/>
                <w:sz w:val="14"/>
                <w:szCs w:val="14"/>
                <w:color w:val="auto"/>
              </w:rPr>
              <w:t>Phoenix, AZ</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rPr>
                <w:sz w:val="20"/>
                <w:szCs w:val="20"/>
                <w:color w:val="auto"/>
              </w:rPr>
            </w:pPr>
            <w:r>
              <w:rPr>
                <w:rFonts w:ascii="Arial" w:cs="Arial" w:eastAsia="Arial" w:hAnsi="Arial"/>
                <w:sz w:val="14"/>
                <w:szCs w:val="14"/>
                <w:color w:val="auto"/>
              </w:rPr>
              <w:t>213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Vacation</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Ownership</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4"/>
              </w:rPr>
              <w:t>Additional</w:t>
            </w:r>
          </w:p>
        </w:tc>
        <w:tc>
          <w:tcPr>
            <w:tcW w:w="0" w:type="dxa"/>
            <w:vAlign w:val="bottom"/>
          </w:tcPr>
          <w:p>
            <w:pPr>
              <w:spacing w:after="0"/>
              <w:rPr>
                <w:sz w:val="1"/>
                <w:szCs w:val="1"/>
                <w:color w:val="auto"/>
              </w:rPr>
            </w:pPr>
          </w:p>
        </w:tc>
      </w:tr>
      <w:tr>
        <w:trPr>
          <w:trHeight w:val="134"/>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Property</w:t>
            </w:r>
            <w:r>
              <w:rPr>
                <w:rFonts w:ascii="Arial" w:cs="Arial" w:eastAsia="Arial" w:hAnsi="Arial"/>
                <w:sz w:val="22"/>
                <w:szCs w:val="22"/>
                <w:b w:val="1"/>
                <w:bCs w:val="1"/>
                <w:color w:val="auto"/>
                <w:w w:val="84"/>
                <w:vertAlign w:val="superscript"/>
              </w:rPr>
              <w:t>(1)</w:t>
            </w:r>
          </w:p>
        </w:tc>
        <w:tc>
          <w:tcPr>
            <w:tcW w:w="3720" w:type="dxa"/>
            <w:vAlign w:val="bottom"/>
            <w:vMerge w:val="restart"/>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(VO) or</w:t>
            </w:r>
          </w:p>
        </w:tc>
        <w:tc>
          <w:tcPr>
            <w:tcW w:w="6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Units</w:t>
            </w:r>
          </w:p>
        </w:tc>
        <w:tc>
          <w:tcPr>
            <w:tcW w:w="6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Planned</w:t>
            </w: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vMerge w:val="continue"/>
          </w:tcPr>
          <w:p>
            <w:pPr>
              <w:spacing w:after="0"/>
              <w:rPr>
                <w:sz w:val="15"/>
                <w:szCs w:val="15"/>
                <w:color w:val="auto"/>
              </w:rPr>
            </w:pPr>
          </w:p>
        </w:tc>
        <w:tc>
          <w:tcPr>
            <w:tcW w:w="3720" w:type="dxa"/>
            <w:vAlign w:val="bottom"/>
            <w:vMerge w:val="continue"/>
          </w:tcPr>
          <w:p>
            <w:pPr>
              <w:spacing w:after="0"/>
              <w:rPr>
                <w:sz w:val="15"/>
                <w:szCs w:val="15"/>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Segment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Experience</w:t>
            </w:r>
          </w:p>
        </w:tc>
        <w:tc>
          <w:tcPr>
            <w:tcW w:w="1760" w:type="dxa"/>
            <w:vAlign w:val="bottom"/>
            <w:gridSpan w:val="2"/>
          </w:tcPr>
          <w:p>
            <w:pPr>
              <w:ind w:left="580"/>
              <w:spacing w:after="0"/>
              <w:rPr>
                <w:sz w:val="20"/>
                <w:szCs w:val="20"/>
                <w:color w:val="auto"/>
              </w:rPr>
            </w:pPr>
            <w:r>
              <w:rPr>
                <w:rFonts w:ascii="Arial" w:cs="Arial" w:eastAsia="Arial" w:hAnsi="Arial"/>
                <w:sz w:val="14"/>
                <w:szCs w:val="14"/>
                <w:b w:val="1"/>
                <w:bCs w:val="1"/>
                <w:color w:val="auto"/>
              </w:rPr>
              <w:t>Location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Residential</w:t>
            </w:r>
          </w:p>
        </w:tc>
        <w:tc>
          <w:tcPr>
            <w:tcW w:w="60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Built</w:t>
            </w:r>
            <w:r>
              <w:rPr>
                <w:rFonts w:ascii="Arial" w:cs="Arial" w:eastAsia="Arial" w:hAnsi="Arial"/>
                <w:sz w:val="18"/>
                <w:szCs w:val="18"/>
                <w:b w:val="1"/>
                <w:bCs w:val="1"/>
                <w:color w:val="auto"/>
                <w:vertAlign w:val="superscript"/>
              </w:rPr>
              <w:t>(2)</w:t>
            </w:r>
          </w:p>
        </w:tc>
        <w:tc>
          <w:tcPr>
            <w:tcW w:w="680" w:type="dxa"/>
            <w:vAlign w:val="bottom"/>
            <w:gridSpan w:val="2"/>
          </w:tcPr>
          <w:p>
            <w:pPr>
              <w:ind w:left="80"/>
              <w:spacing w:after="0" w:line="162" w:lineRule="exact"/>
              <w:rPr>
                <w:sz w:val="20"/>
                <w:szCs w:val="20"/>
                <w:color w:val="auto"/>
              </w:rPr>
            </w:pPr>
            <w:r>
              <w:rPr>
                <w:rFonts w:ascii="Arial" w:cs="Arial" w:eastAsia="Arial" w:hAnsi="Arial"/>
                <w:sz w:val="12"/>
                <w:szCs w:val="12"/>
                <w:b w:val="1"/>
                <w:bCs w:val="1"/>
                <w:color w:val="auto"/>
              </w:rPr>
              <w:t>Units</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36"/>
        </w:trPr>
        <w:tc>
          <w:tcPr>
            <w:tcW w:w="43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Club Son Antem</w:t>
            </w:r>
          </w:p>
        </w:tc>
        <w:tc>
          <w:tcPr>
            <w:tcW w:w="15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4"/>
              </w:rPr>
              <w:t>Europe</w:t>
            </w:r>
          </w:p>
        </w:tc>
        <w:tc>
          <w:tcPr>
            <w:tcW w:w="12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2"/>
              </w:rPr>
              <w:t>Island/Golf</w:t>
            </w:r>
          </w:p>
        </w:tc>
        <w:tc>
          <w:tcPr>
            <w:tcW w:w="10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Mallorca, Spain</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8"/>
              </w:rPr>
              <w:t>VO</w:t>
            </w: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224</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Crystal Shores on Marco Island</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Marco Island, FL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Custom House</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9"/>
              </w:rPr>
              <w:t>Urban</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Boston, MA</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Cypress Harbour</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Desert Springs Villas</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Golf/Desert</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Palm Desert, CA</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Fairway Villas</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Golf</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Absecon, NJ</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Frenchman’s Cove</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Thomas, USVI</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Grand Chateau</w:t>
            </w:r>
          </w:p>
        </w:tc>
        <w:tc>
          <w:tcPr>
            <w:tcW w:w="166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tcPr>
          <w:p>
            <w:pPr>
              <w:spacing w:after="0" w:line="138" w:lineRule="exact"/>
              <w:rPr>
                <w:sz w:val="20"/>
                <w:szCs w:val="20"/>
                <w:color w:val="auto"/>
              </w:rPr>
            </w:pPr>
            <w:r>
              <w:rPr>
                <w:rFonts w:ascii="Arial" w:cs="Arial" w:eastAsia="Arial" w:hAnsi="Arial"/>
                <w:sz w:val="14"/>
                <w:szCs w:val="14"/>
                <w:color w:val="auto"/>
              </w:rPr>
              <w:t>Las Vegas, NV</w:t>
            </w:r>
          </w:p>
        </w:tc>
        <w:tc>
          <w:tcPr>
            <w:tcW w:w="76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448</w:t>
            </w:r>
          </w:p>
        </w:tc>
        <w:tc>
          <w:tcPr>
            <w:tcW w:w="180" w:type="dxa"/>
            <w:vAlign w:val="bottom"/>
          </w:tcPr>
          <w:p>
            <w:pPr>
              <w:spacing w:after="0"/>
              <w:rPr>
                <w:sz w:val="11"/>
                <w:szCs w:val="11"/>
                <w:color w:val="auto"/>
              </w:rPr>
            </w:pPr>
          </w:p>
        </w:tc>
        <w:tc>
          <w:tcPr>
            <w:tcW w:w="620" w:type="dxa"/>
            <w:vAlign w:val="bottom"/>
          </w:tcPr>
          <w:p>
            <w:pPr>
              <w:ind w:left="400"/>
              <w:spacing w:after="0" w:line="138" w:lineRule="exact"/>
              <w:rPr>
                <w:sz w:val="20"/>
                <w:szCs w:val="20"/>
                <w:color w:val="auto"/>
              </w:rPr>
            </w:pPr>
            <w:r>
              <w:rPr>
                <w:rFonts w:ascii="Arial" w:cs="Arial" w:eastAsia="Arial" w:hAnsi="Arial"/>
                <w:sz w:val="14"/>
                <w:szCs w:val="14"/>
                <w:color w:val="auto"/>
                <w:w w:val="85"/>
              </w:rPr>
              <w:t>447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/Asia Pacific</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Grand Residences by Marriott at Bay Point</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Golf</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Panama City, FL</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Residential</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Grande Ocean</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290</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Grande Vista</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Harbour Club</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Harbour Lake</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588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Harbour Point/Sunset Pointe</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111</w:t>
            </w: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Heritage Club</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Golf</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Imperial Palm Villas</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Kauai Beach Club</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Kauai, HI</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Kauai Lagoons:</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Grand Residences by Marriott</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Kauai, HI</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Residential</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Kalanipu’u</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Kauai, HI</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The Ritz-Carlton Club, Kauai Lagoons</w:t>
            </w:r>
          </w:p>
        </w:tc>
        <w:tc>
          <w:tcPr>
            <w:tcW w:w="16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Luxury</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Kauai, HI</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380" w:type="dxa"/>
            <w:vAlign w:val="bottom"/>
            <w:gridSpan w:val="2"/>
          </w:tcPr>
          <w:p>
            <w:pPr>
              <w:spacing w:after="0" w:line="138" w:lineRule="exact"/>
              <w:rPr>
                <w:sz w:val="20"/>
                <w:szCs w:val="20"/>
                <w:color w:val="auto"/>
              </w:rPr>
            </w:pPr>
            <w:r>
              <w:rPr>
                <w:rFonts w:ascii="Arial" w:cs="Arial" w:eastAsia="Arial" w:hAnsi="Arial"/>
                <w:sz w:val="14"/>
                <w:szCs w:val="14"/>
                <w:color w:val="auto"/>
              </w:rPr>
              <w:t>Ko Olina Beach Club</w:t>
            </w:r>
          </w:p>
        </w:tc>
        <w:tc>
          <w:tcPr>
            <w:tcW w:w="166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tcPr>
          <w:p>
            <w:pPr>
              <w:spacing w:after="0" w:line="138" w:lineRule="exact"/>
              <w:rPr>
                <w:sz w:val="20"/>
                <w:szCs w:val="20"/>
                <w:color w:val="auto"/>
              </w:rPr>
            </w:pPr>
            <w:r>
              <w:rPr>
                <w:rFonts w:ascii="Arial" w:cs="Arial" w:eastAsia="Arial" w:hAnsi="Arial"/>
                <w:sz w:val="14"/>
                <w:szCs w:val="14"/>
                <w:color w:val="auto"/>
              </w:rPr>
              <w:t>Oahu, HI</w:t>
            </w:r>
          </w:p>
        </w:tc>
        <w:tc>
          <w:tcPr>
            <w:tcW w:w="76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560</w:t>
            </w:r>
          </w:p>
        </w:tc>
        <w:tc>
          <w:tcPr>
            <w:tcW w:w="180" w:type="dxa"/>
            <w:vAlign w:val="bottom"/>
          </w:tcPr>
          <w:p>
            <w:pPr>
              <w:spacing w:after="0"/>
              <w:rPr>
                <w:sz w:val="11"/>
                <w:szCs w:val="11"/>
                <w:color w:val="auto"/>
              </w:rPr>
            </w:pPr>
          </w:p>
        </w:tc>
        <w:tc>
          <w:tcPr>
            <w:tcW w:w="620" w:type="dxa"/>
            <w:vAlign w:val="bottom"/>
          </w:tcPr>
          <w:p>
            <w:pPr>
              <w:ind w:left="400"/>
              <w:spacing w:after="0" w:line="138" w:lineRule="exact"/>
              <w:rPr>
                <w:sz w:val="20"/>
                <w:szCs w:val="20"/>
                <w:color w:val="auto"/>
              </w:rPr>
            </w:pPr>
            <w:r>
              <w:rPr>
                <w:rFonts w:ascii="Arial" w:cs="Arial" w:eastAsia="Arial" w:hAnsi="Arial"/>
                <w:sz w:val="14"/>
                <w:szCs w:val="14"/>
                <w:color w:val="auto"/>
                <w:w w:val="85"/>
              </w:rPr>
              <w:t>190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/Asia Pacific</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Lakeshore Reserve</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245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Legends Edge at Bay Point</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Golf</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Panama City, FL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Mai Khao Beach Resort</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Asia Pacific</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Thailand</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Manor Club at Ford’s Colony</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Williamsburg, VA</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200</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Marbella Beach Resort</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4"/>
              </w:rPr>
              <w:t>Europe</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Marbella, Spain</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Marriott Grand Residence Club, Lake Tahoe</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Mountain/Ski</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Lake Tahoe, CA</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199</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Maui Ocean Club</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Maui, HI</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Monarch at Sea Pines</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Hilton Head, SC</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122</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Mountain Valley Lodge</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Mountain/Ski</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Breckenridge, CO</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MountainSide</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Mountain/Ski</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Park City, UT</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Newport Coast Villas</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Newport Beach, CA</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Ocean Pointe</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Palm Beach Shores, FL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Ocean Watch Villas at Grand Dunes</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Myrtle Beach, SC</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Oceana Palms</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Singer Island, FL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169</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Beach Club</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Asia Pacific</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Phuket, Thailand</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Playa Andaluza</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4"/>
              </w:rPr>
              <w:t>Europe</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Estepona, Spain</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173</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Royal Palms</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Orlando, FL</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Sabal Palms</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7"/>
              </w:rPr>
              <w:t>Entertainment</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Orlando, FL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Shadow Ridge</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0"/>
              </w:rPr>
              <w:t>Golf/Desert</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Palm Desert, CA</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484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St. Kitts Beach Club</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West Indies</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Streamside</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Mountain/Ski</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Vail, CO</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Summit Watch</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Mountain/Ski</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Park City, UT</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135</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Surf Watch</w:t>
            </w:r>
          </w:p>
        </w:tc>
        <w:tc>
          <w:tcPr>
            <w:tcW w:w="16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1"/>
              </w:rPr>
              <w:t>North America</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5"/>
              </w:rPr>
              <w:t>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Hilton Head, SC</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The Abaco Club on Winding Bay</w:t>
            </w:r>
            <w:r>
              <w:rPr>
                <w:rFonts w:ascii="Arial" w:cs="Arial" w:eastAsia="Arial" w:hAnsi="Arial"/>
                <w:sz w:val="17"/>
                <w:szCs w:val="17"/>
                <w:b w:val="1"/>
                <w:bCs w:val="1"/>
                <w:color w:val="auto"/>
                <w:vertAlign w:val="superscript"/>
              </w:rPr>
              <w:t>(4)</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Vacation Ownership</w:t>
            </w:r>
          </w:p>
        </w:tc>
        <w:tc>
          <w:tcPr>
            <w:tcW w:w="16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Luxury</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Bahamas</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4380" w:type="dxa"/>
            <w:vAlign w:val="bottom"/>
            <w:gridSpan w:val="2"/>
          </w:tcPr>
          <w:p>
            <w:pPr>
              <w:ind w:left="440"/>
              <w:spacing w:after="0" w:line="122" w:lineRule="exact"/>
              <w:rPr>
                <w:sz w:val="20"/>
                <w:szCs w:val="20"/>
                <w:color w:val="auto"/>
              </w:rPr>
            </w:pPr>
            <w:r>
              <w:rPr>
                <w:rFonts w:ascii="Arial" w:cs="Arial" w:eastAsia="Arial" w:hAnsi="Arial"/>
                <w:sz w:val="14"/>
                <w:szCs w:val="14"/>
                <w:color w:val="auto"/>
              </w:rPr>
              <w:t>Residential</w:t>
            </w:r>
          </w:p>
        </w:tc>
        <w:tc>
          <w:tcPr>
            <w:tcW w:w="1660" w:type="dxa"/>
            <w:vAlign w:val="bottom"/>
            <w:gridSpan w:val="2"/>
          </w:tcPr>
          <w:p>
            <w:pPr>
              <w:jc w:val="center"/>
              <w:ind w:right="100"/>
              <w:spacing w:after="0" w:line="122" w:lineRule="exact"/>
              <w:rPr>
                <w:sz w:val="20"/>
                <w:szCs w:val="20"/>
                <w:color w:val="auto"/>
              </w:rPr>
            </w:pPr>
            <w:r>
              <w:rPr>
                <w:rFonts w:ascii="Arial" w:cs="Arial" w:eastAsia="Arial" w:hAnsi="Arial"/>
                <w:sz w:val="14"/>
                <w:szCs w:val="14"/>
                <w:color w:val="auto"/>
                <w:w w:val="95"/>
              </w:rPr>
              <w:t>Luxury</w:t>
            </w:r>
          </w:p>
        </w:tc>
        <w:tc>
          <w:tcPr>
            <w:tcW w:w="1580" w:type="dxa"/>
            <w:vAlign w:val="bottom"/>
            <w:gridSpan w:val="2"/>
          </w:tcPr>
          <w:p>
            <w:pPr>
              <w:jc w:val="center"/>
              <w:ind w:right="120"/>
              <w:spacing w:after="0" w:line="122"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tcPr>
          <w:p>
            <w:pPr>
              <w:spacing w:after="0" w:line="122" w:lineRule="exact"/>
              <w:rPr>
                <w:sz w:val="20"/>
                <w:szCs w:val="20"/>
                <w:color w:val="auto"/>
              </w:rPr>
            </w:pPr>
            <w:r>
              <w:rPr>
                <w:rFonts w:ascii="Arial" w:cs="Arial" w:eastAsia="Arial" w:hAnsi="Arial"/>
                <w:sz w:val="14"/>
                <w:szCs w:val="14"/>
                <w:color w:val="auto"/>
              </w:rPr>
              <w:t>Bahamas</w:t>
            </w:r>
          </w:p>
        </w:tc>
        <w:tc>
          <w:tcPr>
            <w:tcW w:w="760" w:type="dxa"/>
            <w:vAlign w:val="bottom"/>
            <w:gridSpan w:val="2"/>
          </w:tcPr>
          <w:p>
            <w:pPr>
              <w:jc w:val="center"/>
              <w:ind w:right="120"/>
              <w:spacing w:after="0" w:line="122" w:lineRule="exact"/>
              <w:rPr>
                <w:sz w:val="20"/>
                <w:szCs w:val="20"/>
                <w:color w:val="auto"/>
              </w:rPr>
            </w:pPr>
            <w:r>
              <w:rPr>
                <w:rFonts w:ascii="Arial" w:cs="Arial" w:eastAsia="Arial" w:hAnsi="Arial"/>
                <w:sz w:val="14"/>
                <w:szCs w:val="14"/>
                <w:color w:val="auto"/>
                <w:w w:val="86"/>
              </w:rPr>
              <w:t>Residential</w:t>
            </w:r>
          </w:p>
        </w:tc>
        <w:tc>
          <w:tcPr>
            <w:tcW w:w="420" w:type="dxa"/>
            <w:vAlign w:val="bottom"/>
          </w:tcPr>
          <w:p>
            <w:pPr>
              <w:jc w:val="right"/>
              <w:spacing w:after="0" w:line="122"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0"/>
                <w:szCs w:val="10"/>
                <w:color w:val="auto"/>
              </w:rPr>
            </w:pPr>
          </w:p>
        </w:tc>
        <w:tc>
          <w:tcPr>
            <w:tcW w:w="680" w:type="dxa"/>
            <w:vAlign w:val="bottom"/>
            <w:gridSpan w:val="2"/>
          </w:tcPr>
          <w:p>
            <w:pPr>
              <w:ind w:left="400"/>
              <w:spacing w:after="0" w:line="12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380" w:type="dxa"/>
            <w:vAlign w:val="bottom"/>
            <w:gridSpan w:val="2"/>
          </w:tcPr>
          <w:p>
            <w:pPr>
              <w:spacing w:after="0" w:line="176" w:lineRule="exact"/>
              <w:rPr>
                <w:sz w:val="20"/>
                <w:szCs w:val="20"/>
                <w:color w:val="auto"/>
              </w:rPr>
            </w:pPr>
            <w:r>
              <w:rPr>
                <w:rFonts w:ascii="Arial" w:cs="Arial" w:eastAsia="Arial" w:hAnsi="Arial"/>
                <w:sz w:val="11"/>
                <w:szCs w:val="11"/>
                <w:color w:val="auto"/>
              </w:rPr>
              <w:t>The Buckingham</w:t>
            </w:r>
            <w:r>
              <w:rPr>
                <w:rFonts w:ascii="Arial" w:cs="Arial" w:eastAsia="Arial" w:hAnsi="Arial"/>
                <w:sz w:val="20"/>
                <w:szCs w:val="20"/>
                <w:b w:val="1"/>
                <w:bCs w:val="1"/>
                <w:color w:val="auto"/>
                <w:vertAlign w:val="superscript"/>
              </w:rPr>
              <w:t>(5)</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Asia Pacific</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color w:val="auto"/>
                <w:w w:val="87"/>
              </w:rPr>
              <w:t>Entertainment</w:t>
            </w:r>
          </w:p>
        </w:tc>
        <w:tc>
          <w:tcPr>
            <w:tcW w:w="1760" w:type="dxa"/>
            <w:vAlign w:val="bottom"/>
            <w:gridSpan w:val="2"/>
          </w:tcPr>
          <w:p>
            <w:pPr>
              <w:spacing w:after="0"/>
              <w:rPr>
                <w:sz w:val="20"/>
                <w:szCs w:val="20"/>
                <w:color w:val="auto"/>
              </w:rPr>
            </w:pPr>
            <w:r>
              <w:rPr>
                <w:rFonts w:ascii="Arial" w:cs="Arial" w:eastAsia="Arial" w:hAnsi="Arial"/>
                <w:sz w:val="14"/>
                <w:szCs w:val="14"/>
                <w:color w:val="auto"/>
              </w:rPr>
              <w:t>Macau, China</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rPr>
                <w:sz w:val="20"/>
                <w:szCs w:val="20"/>
                <w:color w:val="auto"/>
              </w:rPr>
            </w:pPr>
            <w:r>
              <w:rPr>
                <w:rFonts w:ascii="Arial" w:cs="Arial" w:eastAsia="Arial" w:hAnsi="Arial"/>
                <w:sz w:val="14"/>
                <w:szCs w:val="14"/>
                <w:color w:val="auto"/>
              </w:rPr>
              <w:t>18</w:t>
            </w:r>
          </w:p>
        </w:tc>
        <w:tc>
          <w:tcPr>
            <w:tcW w:w="180" w:type="dxa"/>
            <w:vAlign w:val="bottom"/>
          </w:tcPr>
          <w:p>
            <w:pPr>
              <w:spacing w:after="0"/>
              <w:rPr>
                <w:sz w:val="15"/>
                <w:szCs w:val="15"/>
                <w:color w:val="auto"/>
              </w:rPr>
            </w:pPr>
          </w:p>
        </w:tc>
        <w:tc>
          <w:tcPr>
            <w:tcW w:w="68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4"/>
                <w:szCs w:val="14"/>
                <w:color w:val="auto"/>
              </w:rPr>
              <w:t>The Empire Place</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Asia Pacific</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Urban</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Bangkok, Thailand</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and Residences, Jupiter</w:t>
            </w: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Vacation Ownership</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Luxury</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Golf</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Jupiter, FL</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Residential</w:t>
            </w:r>
          </w:p>
        </w:tc>
        <w:tc>
          <w:tcPr>
            <w:tcW w:w="16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Luxury</w:t>
            </w:r>
          </w:p>
        </w:tc>
        <w:tc>
          <w:tcPr>
            <w:tcW w:w="158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3"/>
              </w:rPr>
              <w:t>Golf</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Jupiter, FL</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Residential</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spacing w:after="0" w:line="149" w:lineRule="exact"/>
              <w:rPr>
                <w:sz w:val="20"/>
                <w:szCs w:val="20"/>
                <w:color w:val="auto"/>
              </w:rPr>
            </w:pPr>
            <w:r>
              <w:rPr>
                <w:rFonts w:ascii="Arial" w:cs="Arial" w:eastAsia="Arial" w:hAnsi="Arial"/>
                <w:sz w:val="11"/>
                <w:szCs w:val="11"/>
                <w:color w:val="auto"/>
              </w:rPr>
              <w:t>The Ritz-Carlton Club and Residences, Kapalua Bay</w:t>
            </w:r>
            <w:r>
              <w:rPr>
                <w:rFonts w:ascii="Arial" w:cs="Arial" w:eastAsia="Arial" w:hAnsi="Arial"/>
                <w:sz w:val="17"/>
                <w:szCs w:val="17"/>
                <w:b w:val="1"/>
                <w:bCs w:val="1"/>
                <w:color w:val="auto"/>
                <w:vertAlign w:val="superscript"/>
              </w:rPr>
              <w:t>(6)</w:t>
            </w: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Vacation Ownership</w:t>
            </w:r>
          </w:p>
        </w:tc>
        <w:tc>
          <w:tcPr>
            <w:tcW w:w="16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5"/>
              </w:rPr>
              <w:t>Luxury</w:t>
            </w:r>
          </w:p>
        </w:tc>
        <w:tc>
          <w:tcPr>
            <w:tcW w:w="158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Maui, HI</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Residential</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Luxury</w:t>
            </w: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Island/Beach</w:t>
            </w:r>
          </w:p>
        </w:tc>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Maui, HI</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6"/>
              </w:rPr>
              <w:t>Residential</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and Residences, San Francisco</w:t>
            </w:r>
          </w:p>
        </w:tc>
        <w:tc>
          <w:tcPr>
            <w:tcW w:w="1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80" w:type="dxa"/>
            <w:vAlign w:val="bottom"/>
            <w:gridSpan w:val="2"/>
          </w:tcPr>
          <w:p>
            <w:pPr>
              <w:ind w:left="440"/>
              <w:spacing w:after="0"/>
              <w:rPr>
                <w:sz w:val="20"/>
                <w:szCs w:val="20"/>
                <w:color w:val="auto"/>
              </w:rPr>
            </w:pPr>
            <w:r>
              <w:rPr>
                <w:rFonts w:ascii="Arial" w:cs="Arial" w:eastAsia="Arial" w:hAnsi="Arial"/>
                <w:sz w:val="14"/>
                <w:szCs w:val="14"/>
                <w:color w:val="auto"/>
              </w:rPr>
              <w:t>Vacation Ownership</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Luxury</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Urban</w:t>
            </w:r>
          </w:p>
        </w:tc>
        <w:tc>
          <w:tcPr>
            <w:tcW w:w="1760" w:type="dxa"/>
            <w:vAlign w:val="bottom"/>
            <w:gridSpan w:val="2"/>
          </w:tcPr>
          <w:p>
            <w:pPr>
              <w:spacing w:after="0"/>
              <w:rPr>
                <w:sz w:val="20"/>
                <w:szCs w:val="20"/>
                <w:color w:val="auto"/>
              </w:rPr>
            </w:pPr>
            <w:r>
              <w:rPr>
                <w:rFonts w:ascii="Arial" w:cs="Arial" w:eastAsia="Arial" w:hAnsi="Arial"/>
                <w:sz w:val="14"/>
                <w:szCs w:val="14"/>
                <w:color w:val="auto"/>
              </w:rPr>
              <w:t>San Francisco, CA</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rPr>
                <w:sz w:val="20"/>
                <w:szCs w:val="20"/>
                <w:color w:val="auto"/>
              </w:rPr>
            </w:pPr>
            <w:r>
              <w:rPr>
                <w:rFonts w:ascii="Arial" w:cs="Arial" w:eastAsia="Arial" w:hAnsi="Arial"/>
                <w:sz w:val="14"/>
                <w:szCs w:val="14"/>
                <w:color w:val="auto"/>
              </w:rPr>
              <w:t>25</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-957580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Vacation</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Ownership</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34"/>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84"/>
              </w:rPr>
              <w:t>Property</w:t>
            </w:r>
            <w:r>
              <w:rPr>
                <w:rFonts w:ascii="Arial" w:cs="Arial" w:eastAsia="Arial" w:hAnsi="Arial"/>
                <w:sz w:val="22"/>
                <w:szCs w:val="22"/>
                <w:b w:val="1"/>
                <w:bCs w:val="1"/>
                <w:color w:val="auto"/>
                <w:w w:val="84"/>
                <w:vertAlign w:val="superscript"/>
              </w:rPr>
              <w:t>(1)</w:t>
            </w:r>
          </w:p>
        </w:tc>
        <w:tc>
          <w:tcPr>
            <w:tcW w:w="3620" w:type="dxa"/>
            <w:vAlign w:val="bottom"/>
            <w:vMerge w:val="restart"/>
          </w:tcPr>
          <w:p>
            <w:pPr>
              <w:spacing w:after="0"/>
              <w:rPr>
                <w:sz w:val="11"/>
                <w:szCs w:val="11"/>
                <w:color w:val="auto"/>
              </w:rPr>
            </w:pPr>
          </w:p>
        </w:tc>
        <w:tc>
          <w:tcPr>
            <w:tcW w:w="1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6"/>
              </w:rPr>
              <w:t>(VO) or</w:t>
            </w:r>
          </w:p>
        </w:tc>
        <w:tc>
          <w:tcPr>
            <w:tcW w:w="42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7"/>
              </w:rPr>
              <w:t>Units</w:t>
            </w:r>
          </w:p>
        </w:tc>
        <w:tc>
          <w:tcPr>
            <w:tcW w:w="180" w:type="dxa"/>
            <w:vAlign w:val="bottom"/>
          </w:tcPr>
          <w:p>
            <w:pPr>
              <w:spacing w:after="0"/>
              <w:rPr>
                <w:sz w:val="11"/>
                <w:szCs w:val="11"/>
                <w:color w:val="auto"/>
              </w:rPr>
            </w:pPr>
          </w:p>
        </w:tc>
        <w:tc>
          <w:tcPr>
            <w:tcW w:w="6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88"/>
              </w:rPr>
              <w:t>Planned</w:t>
            </w:r>
          </w:p>
        </w:tc>
        <w:tc>
          <w:tcPr>
            <w:tcW w:w="0" w:type="dxa"/>
            <w:vAlign w:val="bottom"/>
          </w:tcPr>
          <w:p>
            <w:pPr>
              <w:spacing w:after="0"/>
              <w:rPr>
                <w:sz w:val="1"/>
                <w:szCs w:val="1"/>
                <w:color w:val="auto"/>
              </w:rPr>
            </w:pPr>
          </w:p>
        </w:tc>
      </w:tr>
      <w:tr>
        <w:trPr>
          <w:trHeight w:val="182"/>
        </w:trPr>
        <w:tc>
          <w:tcPr>
            <w:tcW w:w="660" w:type="dxa"/>
            <w:vAlign w:val="bottom"/>
            <w:tcBorders>
              <w:bottom w:val="single" w:sz="8" w:color="auto"/>
            </w:tcBorders>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Segment</w:t>
            </w:r>
          </w:p>
        </w:tc>
        <w:tc>
          <w:tcPr>
            <w:tcW w:w="1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Experience</w:t>
            </w:r>
          </w:p>
        </w:tc>
        <w:tc>
          <w:tcPr>
            <w:tcW w:w="1780" w:type="dxa"/>
            <w:vAlign w:val="bottom"/>
            <w:gridSpan w:val="2"/>
          </w:tcPr>
          <w:p>
            <w:pPr>
              <w:ind w:left="580"/>
              <w:spacing w:after="0"/>
              <w:rPr>
                <w:sz w:val="20"/>
                <w:szCs w:val="20"/>
                <w:color w:val="auto"/>
              </w:rPr>
            </w:pPr>
            <w:r>
              <w:rPr>
                <w:rFonts w:ascii="Arial" w:cs="Arial" w:eastAsia="Arial" w:hAnsi="Arial"/>
                <w:sz w:val="14"/>
                <w:szCs w:val="14"/>
                <w:b w:val="1"/>
                <w:bCs w:val="1"/>
                <w:color w:val="auto"/>
              </w:rPr>
              <w:t>Location</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Residential</w:t>
            </w:r>
          </w:p>
        </w:tc>
        <w:tc>
          <w:tcPr>
            <w:tcW w:w="4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w w:val="96"/>
              </w:rPr>
              <w:t>Built</w:t>
            </w:r>
            <w:r>
              <w:rPr>
                <w:rFonts w:ascii="Arial" w:cs="Arial" w:eastAsia="Arial" w:hAnsi="Arial"/>
                <w:sz w:val="18"/>
                <w:szCs w:val="18"/>
                <w:b w:val="1"/>
                <w:bCs w:val="1"/>
                <w:color w:val="auto"/>
                <w:w w:val="96"/>
                <w:vertAlign w:val="superscript"/>
              </w:rPr>
              <w:t>(2)</w:t>
            </w:r>
          </w:p>
        </w:tc>
        <w:tc>
          <w:tcPr>
            <w:tcW w:w="180" w:type="dxa"/>
            <w:vAlign w:val="bottom"/>
          </w:tcPr>
          <w:p>
            <w:pPr>
              <w:spacing w:after="0"/>
              <w:rPr>
                <w:sz w:val="15"/>
                <w:szCs w:val="15"/>
                <w:color w:val="auto"/>
              </w:rPr>
            </w:pPr>
          </w:p>
        </w:tc>
        <w:tc>
          <w:tcPr>
            <w:tcW w:w="68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w w:val="98"/>
              </w:rPr>
              <w:t>Units</w:t>
            </w:r>
            <w:r>
              <w:rPr>
                <w:rFonts w:ascii="Arial" w:cs="Arial" w:eastAsia="Arial" w:hAnsi="Arial"/>
                <w:sz w:val="18"/>
                <w:szCs w:val="18"/>
                <w:b w:val="1"/>
                <w:bCs w:val="1"/>
                <w:color w:val="auto"/>
                <w:w w:val="98"/>
                <w:vertAlign w:val="superscript"/>
              </w:rPr>
              <w:t>(3)</w:t>
            </w:r>
          </w:p>
        </w:tc>
        <w:tc>
          <w:tcPr>
            <w:tcW w:w="0" w:type="dxa"/>
            <w:vAlign w:val="bottom"/>
          </w:tcPr>
          <w:p>
            <w:pPr>
              <w:spacing w:after="0"/>
              <w:rPr>
                <w:sz w:val="1"/>
                <w:szCs w:val="1"/>
                <w:color w:val="auto"/>
              </w:rPr>
            </w:pPr>
          </w:p>
        </w:tc>
      </w:tr>
      <w:tr>
        <w:trPr>
          <w:trHeight w:val="136"/>
        </w:trPr>
        <w:tc>
          <w:tcPr>
            <w:tcW w:w="4280" w:type="dxa"/>
            <w:vAlign w:val="bottom"/>
            <w:tcBorders>
              <w:top w:val="single" w:sz="8" w:color="CCEEFF"/>
            </w:tcBorders>
            <w:gridSpan w:val="2"/>
            <w:shd w:val="clear" w:color="auto" w:fill="CCEEFF"/>
          </w:tcPr>
          <w:p>
            <w:pPr>
              <w:ind w:left="440"/>
              <w:spacing w:after="0" w:line="136" w:lineRule="exact"/>
              <w:rPr>
                <w:sz w:val="20"/>
                <w:szCs w:val="20"/>
                <w:color w:val="auto"/>
              </w:rPr>
            </w:pPr>
            <w:r>
              <w:rPr>
                <w:rFonts w:ascii="Arial" w:cs="Arial" w:eastAsia="Arial" w:hAnsi="Arial"/>
                <w:sz w:val="14"/>
                <w:szCs w:val="14"/>
                <w:color w:val="auto"/>
              </w:rPr>
              <w:t>Residential</w:t>
            </w:r>
          </w:p>
        </w:tc>
        <w:tc>
          <w:tcPr>
            <w:tcW w:w="16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5"/>
              </w:rPr>
              <w:t>Luxury</w:t>
            </w: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9"/>
              </w:rPr>
              <w:t>Urban</w:t>
            </w:r>
          </w:p>
        </w:tc>
        <w:tc>
          <w:tcPr>
            <w:tcW w:w="120" w:type="dxa"/>
            <w:vAlign w:val="bottom"/>
            <w:tcBorders>
              <w:top w:val="single" w:sz="8" w:color="CCEEFF"/>
            </w:tcBorders>
            <w:shd w:val="clear" w:color="auto" w:fill="CCEEFF"/>
          </w:tcPr>
          <w:p>
            <w:pPr>
              <w:spacing w:after="0"/>
              <w:rPr>
                <w:sz w:val="11"/>
                <w:szCs w:val="11"/>
                <w:color w:val="auto"/>
              </w:rPr>
            </w:pPr>
          </w:p>
        </w:tc>
        <w:tc>
          <w:tcPr>
            <w:tcW w:w="16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San Francisco, CA</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6"/>
              </w:rPr>
              <w:t>Residential</w:t>
            </w: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57</w:t>
            </w:r>
          </w:p>
        </w:tc>
        <w:tc>
          <w:tcPr>
            <w:tcW w:w="1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ind w:left="400"/>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The Ritz-Carlton Club, Aspen Highlands</w:t>
            </w:r>
          </w:p>
        </w:tc>
        <w:tc>
          <w:tcPr>
            <w:tcW w:w="1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Luxury</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Mountain/Ski</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Aspen, CO</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Bachelor Gulch</w:t>
            </w:r>
          </w:p>
        </w:tc>
        <w:tc>
          <w:tcPr>
            <w:tcW w:w="1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5"/>
              </w:rPr>
              <w:t>Luxury</w:t>
            </w:r>
          </w:p>
        </w:tc>
        <w:tc>
          <w:tcPr>
            <w:tcW w:w="15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Mountain/Ski</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Bachelor Gulch, CO</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The Ritz-Carlton Club, Lake Tahoe</w:t>
            </w:r>
          </w:p>
        </w:tc>
        <w:tc>
          <w:tcPr>
            <w:tcW w:w="17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Luxury</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Mountain/Ski</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Lake Tahoe, CA</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The Ritz-Carlton Club, St. Thomas</w:t>
            </w:r>
          </w:p>
        </w:tc>
        <w:tc>
          <w:tcPr>
            <w:tcW w:w="17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5"/>
              </w:rPr>
              <w:t>Luxury</w:t>
            </w:r>
          </w:p>
        </w:tc>
        <w:tc>
          <w:tcPr>
            <w:tcW w:w="15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Beach</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Thomas, USVI</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The Ritz Carlton Club, Vail</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Luxury/North America</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Mountain/Ski</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Vail, CO</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Timber Lodge</w:t>
            </w:r>
          </w:p>
        </w:tc>
        <w:tc>
          <w:tcPr>
            <w:tcW w:w="17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North America</w:t>
            </w:r>
          </w:p>
        </w:tc>
        <w:tc>
          <w:tcPr>
            <w:tcW w:w="15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Mountain/Ski</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 Tahoe, CA</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tcPr>
          <w:p>
            <w:pPr>
              <w:spacing w:after="0" w:line="149" w:lineRule="exact"/>
              <w:rPr>
                <w:sz w:val="20"/>
                <w:szCs w:val="20"/>
                <w:color w:val="auto"/>
              </w:rPr>
            </w:pPr>
            <w:r>
              <w:rPr>
                <w:rFonts w:ascii="Arial" w:cs="Arial" w:eastAsia="Arial" w:hAnsi="Arial"/>
                <w:sz w:val="14"/>
                <w:szCs w:val="14"/>
                <w:color w:val="auto"/>
              </w:rPr>
              <w:t>Village d’Ile-de-France</w:t>
            </w:r>
          </w:p>
        </w:tc>
        <w:tc>
          <w:tcPr>
            <w:tcW w:w="17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4"/>
              </w:rPr>
              <w:t>Europe</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Entertainment</w:t>
            </w:r>
          </w:p>
        </w:tc>
        <w:tc>
          <w:tcPr>
            <w:tcW w:w="1780" w:type="dxa"/>
            <w:vAlign w:val="bottom"/>
            <w:gridSpan w:val="2"/>
          </w:tcPr>
          <w:p>
            <w:pPr>
              <w:spacing w:after="0" w:line="149" w:lineRule="exact"/>
              <w:rPr>
                <w:sz w:val="20"/>
                <w:szCs w:val="20"/>
                <w:color w:val="auto"/>
              </w:rPr>
            </w:pPr>
            <w:r>
              <w:rPr>
                <w:rFonts w:ascii="Arial" w:cs="Arial" w:eastAsia="Arial" w:hAnsi="Arial"/>
                <w:sz w:val="14"/>
                <w:szCs w:val="14"/>
                <w:color w:val="auto"/>
              </w:rPr>
              <w:t>Paris, France</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18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Villas at Doral</w:t>
            </w:r>
          </w:p>
        </w:tc>
        <w:tc>
          <w:tcPr>
            <w:tcW w:w="17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North America</w:t>
            </w:r>
          </w:p>
        </w:tc>
        <w:tc>
          <w:tcPr>
            <w:tcW w:w="15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rPr>
              <w:t>Golf</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Miami, FL</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4280" w:type="dxa"/>
            <w:vAlign w:val="bottom"/>
            <w:gridSpan w:val="2"/>
          </w:tcPr>
          <w:p>
            <w:pPr>
              <w:spacing w:after="0" w:line="138" w:lineRule="exact"/>
              <w:rPr>
                <w:sz w:val="20"/>
                <w:szCs w:val="20"/>
                <w:color w:val="auto"/>
              </w:rPr>
            </w:pPr>
            <w:r>
              <w:rPr>
                <w:rFonts w:ascii="Arial" w:cs="Arial" w:eastAsia="Arial" w:hAnsi="Arial"/>
                <w:sz w:val="14"/>
                <w:szCs w:val="14"/>
                <w:color w:val="auto"/>
              </w:rPr>
              <w:t>Waiohai Beach Club</w:t>
            </w:r>
          </w:p>
        </w:tc>
        <w:tc>
          <w:tcPr>
            <w:tcW w:w="17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1"/>
              </w:rPr>
              <w:t>North America</w:t>
            </w: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Island/Beach</w:t>
            </w:r>
          </w:p>
        </w:tc>
        <w:tc>
          <w:tcPr>
            <w:tcW w:w="1780" w:type="dxa"/>
            <w:vAlign w:val="bottom"/>
            <w:gridSpan w:val="2"/>
          </w:tcPr>
          <w:p>
            <w:pPr>
              <w:spacing w:after="0" w:line="138" w:lineRule="exact"/>
              <w:rPr>
                <w:sz w:val="20"/>
                <w:szCs w:val="20"/>
                <w:color w:val="auto"/>
              </w:rPr>
            </w:pPr>
            <w:r>
              <w:rPr>
                <w:rFonts w:ascii="Arial" w:cs="Arial" w:eastAsia="Arial" w:hAnsi="Arial"/>
                <w:sz w:val="14"/>
                <w:szCs w:val="14"/>
                <w:color w:val="auto"/>
              </w:rPr>
              <w:t>Kauai, HI</w:t>
            </w:r>
          </w:p>
        </w:tc>
        <w:tc>
          <w:tcPr>
            <w:tcW w:w="76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8"/>
              </w:rPr>
              <w:t>VO</w:t>
            </w: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231</w:t>
            </w:r>
          </w:p>
        </w:tc>
        <w:tc>
          <w:tcPr>
            <w:tcW w:w="180" w:type="dxa"/>
            <w:vAlign w:val="bottom"/>
          </w:tcPr>
          <w:p>
            <w:pPr>
              <w:spacing w:after="0"/>
              <w:rPr>
                <w:sz w:val="11"/>
                <w:szCs w:val="11"/>
                <w:color w:val="auto"/>
              </w:rPr>
            </w:pPr>
          </w:p>
        </w:tc>
        <w:tc>
          <w:tcPr>
            <w:tcW w:w="68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/Asia Pacific</w:t>
            </w: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Willow Ridge Lodge</w:t>
            </w:r>
          </w:p>
        </w:tc>
        <w:tc>
          <w:tcPr>
            <w:tcW w:w="17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1"/>
              </w:rPr>
              <w:t>North America</w:t>
            </w:r>
          </w:p>
        </w:tc>
        <w:tc>
          <w:tcPr>
            <w:tcW w:w="15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Entertainment</w:t>
            </w:r>
          </w:p>
        </w:tc>
        <w:tc>
          <w:tcPr>
            <w:tcW w:w="1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Branson, MO</w:t>
            </w:r>
          </w:p>
        </w:tc>
        <w:tc>
          <w:tcPr>
            <w:tcW w:w="7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98"/>
              </w:rPr>
              <w:t>VO</w:t>
            </w:r>
          </w:p>
        </w:tc>
        <w:tc>
          <w:tcPr>
            <w:tcW w:w="4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w:t>
            </w:r>
          </w:p>
        </w:tc>
        <w:tc>
          <w:tcPr>
            <w:tcW w:w="18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ind w:left="400"/>
              <w:spacing w:after="0" w:line="149" w:lineRule="exact"/>
              <w:rPr>
                <w:sz w:val="20"/>
                <w:szCs w:val="20"/>
                <w:color w:val="auto"/>
              </w:rPr>
            </w:pPr>
            <w:r>
              <w:rPr>
                <w:rFonts w:ascii="Arial" w:cs="Arial" w:eastAsia="Arial" w:hAnsi="Arial"/>
                <w:sz w:val="14"/>
                <w:szCs w:val="14"/>
                <w:color w:val="auto"/>
                <w:w w:val="85"/>
              </w:rPr>
              <w:t>282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3620" w:type="dxa"/>
            <w:vAlign w:val="bottom"/>
          </w:tcPr>
          <w:p>
            <w:pPr>
              <w:ind w:left="640"/>
              <w:spacing w:after="0" w:line="155" w:lineRule="exact"/>
              <w:rPr>
                <w:sz w:val="20"/>
                <w:szCs w:val="20"/>
                <w:color w:val="auto"/>
              </w:rPr>
            </w:pPr>
            <w:r>
              <w:rPr>
                <w:rFonts w:ascii="Arial" w:cs="Arial" w:eastAsia="Arial" w:hAnsi="Arial"/>
                <w:sz w:val="14"/>
                <w:szCs w:val="14"/>
                <w:b w:val="1"/>
                <w:bCs w:val="1"/>
                <w:color w:val="auto"/>
              </w:rPr>
              <w:t>Total</w:t>
            </w: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3"/>
              </w:rPr>
              <w:t>13,029</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2,450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80" w:type="dxa"/>
            <w:vAlign w:val="bottom"/>
            <w:gridSpan w:val="2"/>
            <w:shd w:val="clear" w:color="auto" w:fill="CCEEFF"/>
          </w:tcPr>
          <w:p>
            <w:pPr>
              <w:ind w:left="440"/>
              <w:spacing w:after="0" w:line="142" w:lineRule="exact"/>
              <w:rPr>
                <w:sz w:val="20"/>
                <w:szCs w:val="20"/>
                <w:color w:val="auto"/>
              </w:rPr>
            </w:pPr>
            <w:r>
              <w:rPr>
                <w:rFonts w:ascii="Arial" w:cs="Arial" w:eastAsia="Arial" w:hAnsi="Arial"/>
                <w:sz w:val="11"/>
                <w:szCs w:val="11"/>
                <w:i w:val="1"/>
                <w:iCs w:val="1"/>
                <w:color w:val="auto"/>
              </w:rPr>
              <w:t>Units Available for Sale</w:t>
            </w:r>
            <w:r>
              <w:rPr>
                <w:rFonts w:ascii="Arial" w:cs="Arial" w:eastAsia="Arial" w:hAnsi="Arial"/>
                <w:sz w:val="16"/>
                <w:szCs w:val="16"/>
                <w:color w:val="auto"/>
                <w:vertAlign w:val="superscript"/>
              </w:rPr>
              <w:t>(7)</w:t>
            </w: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971</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property is counted as a separate property to the extent it does not share common areas (such as check-in facilities, pools, etc.) with another property.</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“Units Built” represents units with a certificate of occupancy.</w:t>
      </w: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“Additional Planned Units” represents the total additional units under construction or that we expect to build.</w:t>
      </w:r>
    </w:p>
    <w:p>
      <w:pPr>
        <w:ind w:left="340" w:hanging="332"/>
        <w:spacing w:after="0"/>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2012 we removed the Ritz-Carlton brand from this property after concluding that global economic conditions rendered the property unsustainable under the brand from a business perspective.</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closing.</w:t>
      </w:r>
    </w:p>
    <w:p>
      <w:pPr>
        <w:ind w:left="340" w:right="24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do not directly own the vacation ownership and residential products at this joint venture project and will not receive proceeds directly from such sales; we have omitted these products from the total number of “Units Available for Sale.” Subsequent to December 28, 2012, our management contract related to this project was terminated and we no longer manage this property.</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 be sold as vacation ownership interests; includes units that we reacquired through the foreclosure or active repurchase process.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North America Segment</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our North America segment, we develop, market, sell and manage vacation ownership products under the Marriott Vacation Club and Grand Residences by Marriott brands in the United States and the Caribbean, and on a limited basis, the Ritz-Carlton Destination Club brand. We also develop, market, sell and manage resort residential real estate located within our vacation ownership developments under the Grand Residences by Marriott brand. As of December 28, 2012, we had 46 properties, 11,072 units and approximately 372,000 owners in our North America business.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Luxury Segment</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our Luxury segment, we develop, market, sell and manage luxury vacation ownership products under the Ritz-Carlton Destination Club brand. We also sell whole ownership luxury residential real estate under the Ritz-Carlton Residences brand. As of December 28, 2012, we had 9 locations, 694 residence villas and homes and approximately 3,400 owners in our Luxury business.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significantly scaled back our development of Luxury segment vacation ownership products. We do not have any significant construction activity at any Luxury projects nor do we have any current plans for new development in this segment. While we will continue to sell existing Luxury segment vacation ownership products, we also expect to continue to evaluate opportunities for bulk sales of finished inventory and disposition of undeveloped land. During 2012 we placed inventory from one of our Luxury properties into the MVCD program, and we intend to place most of our remaining Luxury inventory into the MVCD program. We have repositioned our Luxury sales centers to sell the MVCD points product. We believe this strategy will allow us to sell the inventory faster, thereby reducing our near term real estate inventory spending needs and accelerating the reduction of maintenance fees on unsold inventory.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 Segment</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In our Europe segment, we are focusing on selling our existing projects and managing existing resorts. We do not have any current plans for new development in this segment. As of December 28, 2012, we had 919 villas and approximately 29,700 owners in our European business.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Asia Pacific Segment</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our Asia Pacific segment, we develop, market, sell and manage vacation ownership products through Marriott Vacation Club, Asia Pacific, a right-to-use points program we introduced in 2006 that we specifically designed to appeal to vacation preferences of the Asian market. The segment also includes a weeks-based right-to-use product originally introduced in 2001. As of December 28, 2012, we had 344 villas and approximately 15,800 owners in our Asia Pacific Club. We believe opportunity exists to expand our Asia Pacific segment and are seeking to add inventory to support the growth of this business.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Corporate and Other</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Corporate and Other includes financial items not specifically identifiable to an individual segment, including expenses in support of our financing operations, non-capitalizable development expenses supporting overall company development, company-wide general and administrative costs, the fixed royalty fee payable under the License Agreements and interest expense.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manage and sell properties under the Marriott Vacation Club, Grand Residences by Marriott, Ritz-Carlton Destination Club and Ritz-Carlton Residences brands under license agreements with Marriott International and Ritz-Carlton. The foregoing segment descriptions specify the brands that are used by each of our segments. We operate in a highly competitive industry and our brand names, trademarks, service marks, trade names and logos are very important to the marketing and sales of our products and services. We believe that our licensed brand names and other intellectual property have come to represent the highest standards of quality, caring, service and value to our customers and the traveling public. We register and protect our intellectual property where we deem appropriate and otherwise seek to protect against its unauthorized use.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general, the vacation ownership business is modestly seasonal, with stronger revenue generation during traditional vacation periods, including summer months and major holidays. Our residential business is generally not subject to seasonal fluctuations; rather, the sales pace of our residential products typically depends on the underlying residential real estate environment in the applicable geographic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Competition in the vacation ownership industry is based primarily on the quality, number and location of vacation ownership resorts, the quality and capability of the related property management program, trust in the brand, pricing of product offerings and the availability of program benefits, such as exchange programs and access to affiliated hotel networks. We believe that our focus on offering distinctive vacation experiences, combined with our financial strength, well-established and diverse market presence, strong brands, expertise and well-managed and maintained properties, will enable us to remain competitive. Vacation ownership is a vacation option that is positioned and sold as an attractive alternative to vacation rentals (such as hotels, resorts and condominium rentals) and second home ownership. The various segments within the vacation ownership industry can be differentiated by the quality level of the accommodations, range of services and ancillary offerings, and price. Our brands operate in the upscale and luxury tiers of the vacation ownership segment of the industry and the upscale and luxury tiers of the whole ownership segment (also referred to as the residential segment) of the industry.</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vacation ownership industry is highly fragmented, with competitors ranging from small vacation ownership companies to large branded hotel companies that operate vacation ownership businesses. In North America and the Caribbean, we typically compete with companies that sell upscale tier vacation ownership products under a lodging or entertainment brand umbrella, such as Starwood Vacation Ownership, Hilton Grand Vacations Club, Hyatt Vacation Club, and Disney Vacation Club, as well as numerous regional vacation ownership operators. Our luxury vacation ownership products compete with vacation ownership products offered by Four Seasons, Exclusive Resorts and several other small independent companies. In addition, the vacation ownership industry competes generally with other vacation rental options (such as hotels, resorts and condominium rentals) offered by the lodging industry.</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Outside North America and the Caribbean, we operate in two primary regions, Europe and Asia Pacific. In both regions, we are one of the largest lodging-branded vacation ownership companies operating in the upscale tier, with regional operators dominating the competitive landscape. Where possible, our vacation ownership properties in these regions are co-located with Marriott International branded hotels. In Europe, our owner base is derived primarily from North American, European and Middle Eastern customers. In Asia Pacific, our owner base is derived primarily from the Asia Pacific region and secondarily from the Europe and North America regions.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business is heavily regulated. We are subject to a wide variety of complex international, national, federal, state and local laws, regulations and policies in jurisdictions around the world. These laws, regulations and policies primarily affect four areas of our business: real estate development activities, marketing and sales activities, lending activities, and resort management activities.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Development Regulation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the Fair Housing Act 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and Sales Regulation</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marketing and sales activities are closely regulated. In addition to regulations contained in laws enacted specifically for the vacation ownership and land sales industries, a wide variety of laws govern our marketing and sales activities, including fair housing statutes, the Federal Interstate Land Sales Full Disclosure Act, U.S. Federal Trade Commission and state “Little FTC Act” regulations regulating unfair and deceptive trade practices and unfair competition, state attorney general regulations, anti-fraud laws, prize, gift and sweepstakes laws, real estate and other licensing laws and regulations, telemarketing laws, home solicitation sales laws, tour operator laws, lodging certificate and seller of travel laws, securities laws, consumer privacy laws and other consumer protection laws.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jurisdictions require that we file detailed registration or offering statements with regulatory authorities disclosing certain information regarding the vacation ownership interests and other real estate interests we market and sell, such as information concerning the interests being offered, the project, resort or program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We must obtain the approval of numerous governmental authorities for our marketing and sales activities. Changes in circumstances or applicable law may necessitate the application for or modification of existing approvals. Currently, we are qualified to market and sell vacation ownership products in all 50 states and the District of Columbia in the United States and numerous countries in North and South America, the Caribbean, Europe, Asia and the Middle East.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recent years, regulators in many jurisdictions have increased regulations and enforcement actions related to telemarketing operations, including requiring adherence to “do not call” legislation. These measures have significantly increased the costs associated with telemarketing. While we continue to be subject to telemarketing risks and potential liability, we believe that our exposure to adverse effects from telemarketing legislation and enforcement is mitigated in some instances by the use of “permission marketing,” under which we obtain the permission of prospective purchasers to contact them in the future. We have implemented procedures that we believe will help reduce the possibility that we contact individuals who have requested to be placed on federal or state “do not call” lists.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Lending Regulation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lending activities are subject to a number of laws and regulations. In the United States, these include the Real Estate Settlement Procedures Act and Regulation X, the Truth In Lending Act and Regulation Z, the Federal Trade Commission Act, the Equal Credit Opportunity Act and Regulation B, the Fair Credit Reporting Act, the Foreign Investment In Real Property Tax Act, the Fair Housing Act, the Fair Debt Collection Practices Act, the Electronic Funds Transfer Act and Regulation E, the Unfair or Deceptive Acts or Practices regulations and Regulation AA, the USA PATRIOT Act, the Right to Financial Privacy Act, the Gramm-Leach-Bliley Act, the Dodd-Frank Wall Street Reform and Consumer Protection Act (subject to certain exceptions applicable to the timeshare industry) and the Fair and Accurate Credit Transactions Act. Our lending activities are also subject to the laws and regulations of other jurisdictions, including, among others, laws and regulations related to consumer loans, retail installment contracts, mortgage lending, fair debt collection practices, consumer collection practices, mortgage disclosure, lender licenses and money laundering.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Regulation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labor, employment, health care, health and safety, accessibility, discrimination, immigration, gaming, and the environment (including climate change), as well as regulations applicable under the U.S. Treasury’s Office of Foreign Asset Control and the U.S. Foreign Corrupt Practices Act (and the foreign equivalents of such regulation in other jurisdictions).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resorts in our North America segment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w:t>
      </w:r>
      <w:r>
        <w:rPr>
          <w:rFonts w:ascii="Arial" w:cs="Arial" w:eastAsia="Arial" w:hAnsi="Arial"/>
          <w:sz w:val="11"/>
          <w:szCs w:val="11"/>
          <w:color w:val="auto"/>
        </w:rPr>
        <w:t>®</w:t>
      </w:r>
      <w:r>
        <w:rPr>
          <w:rFonts w:ascii="Arial" w:cs="Arial" w:eastAsia="Arial" w:hAnsi="Arial"/>
          <w:sz w:val="18"/>
          <w:szCs w:val="18"/>
          <w:color w:val="auto"/>
        </w:rPr>
        <w:t xml:space="preserve"> (Leadership in Energy &amp; Environmental Design) certification; educating and inspiring associates and guests to support the environment; and embracing innovation.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December 28, 2012 we had approximately 9,500 associates with an average length of service of approximately 6 years. We believe our relations with our associates are very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website address is www.marriottvacationsworldwide.com. Our Annual Reports on Form 10-K, Quarterly Reports on Form 10-Q, Current Reports on Form 8-K and any and all amendments thereto are available free of charge through our website as soon as reasonably practicable after they are filed or furnished to the Securities and Exchange Commission (“SEC”). These materials are also accessible on the SEC’s website at www.sec.gov.</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General economic uncertainty and weak demand in the vacation ownership industry could impact our financial results and growth.</w:t>
      </w:r>
    </w:p>
    <w:p>
      <w:pPr>
        <w:spacing w:after="0" w:line="19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Weak economic conditions in the United States, Europe, Asia and much of the rest of the world and the uncertainty over the duration of such conditions could have a negative impact on the vacation ownership industry. Weak consumer confidence and limited availability of consumer credit can, as it has in the past, cause us to experience weakened demand for our vacation ownership products. Recent improvements in demand trends globally may not continue, and our future financial results and growth could be harmed or constrained if the recovery stalls or conditions worsen.</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Our business will be materially harmed if our License Agreements with Marriott International and Ritz-Carlton are terminated or if we are unable to maintain our ongoing relationship with Marriott International.</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success will depend, in part, on the maintenance of ongoing relationships with Marriott International that are governed by a number of agreements that we entered into with Marriott International in connection with the Spin-Off. In particular, our License Agreements with Marriott International and Ritz-Carlton, among other things, provide us with the exclusive right to use the Marriott and Ritz-Carlton names, respectively, in our vacation ownership business. Each License Agreement has an initial term that expires in 2090; however, if we breach our obligations under either License Agreement, Marriott International and Ritz-Carlton may be entitled to terminate the License Agreements.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termination of the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and Ritz-Carlton brands to attract qualified prospects in the marketplace, which would cause our revenue and profits to decline and our marketing and sales expenses to increase. We would not be able to use www.marriott.com and www.ritzcarlton.com as channels through which to rent available inventory, which would cause our rental revenue to decline.</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Marriott Rewards Agreement would also terminate upon termination of the License Agreements, and we would not be able to offer Marriott Rewards Points to owners and potential owners, which would impair our ability to sell our products and would reduce the flexibility and options available in connection with our products.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If Marriott International or Ritz-Carlton terminates our rights to use the Marriott or Ritz-Carlton marks at any properties that do not meet applicable brand standards, our reputation could be harmed and our ability to market and sell our products at those properties could be impaired.</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Marriott International and Ritz-Carlton can terminate our rights under our License Agreements to use the Marriott or Ritz-Carlton marks at any properties that do not meet applicable brand standards. The termination of such rights could harm our reputation and impair our ability to market and sell our products at the subject properties, either of which could harm our business, and we could owe damages to Marriott International and Ritz-Carlton, property owners, third parties with whom we have contracted and others.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Marriott International or Ritz-Carlton do not consent to our use of their trademarks at new resorts we acquire or develop in the future.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the terms of our License Agreements with Marriott International and Ritz-Carlton, we must obtain Marriott International’s or Ritz-Carlton’s consent, as applicable, to use the Marriott or Ritz-Carlton trademarks in connection with resorts, residences or other accommodations that we acquire or develop in the future. Marriott International or Ritz-Carlton may reject a proposed project if, among other things, the project does not meet Marriott International’s or Ritz-Carlton’s respective construction and design standards or Marriott International or Ritz-Carlton reasonably believes the project will breach contractual or legal restrictions applicable to them and their affiliates. In addition, Ritz-Carlton may reject a proposed project if Ritz-Carlton will not be able to provide services that comply with Ritz-Carlton brand standards at the proposed project. If Marriott International or Ritz-Carlton do not permit us to use their trademarks in connection with our development or acquisition plans, our ability to expand our Marriott and Ritz-Carlton businesses and remain competitive may be materially adversely affected. The requirement to obtain Marriott International’s or Ritz-Carlton’s consent to our expansion plans, or the need to identify and secure alternative expansion opportunities because Marriott International or Ritz-Carlton do not allow us to use their trademarks with proposed new projects, may delay implementation of our expansion plans and cause us to incur additional expense.</w:t>
      </w:r>
    </w:p>
    <w:p>
      <w:pPr>
        <w:spacing w:after="0" w:line="12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Our business depends on the quality and reputation of the Marriott and Ritz-Carlton brands, and any deterioration in the quality or reputation of these brands could have an adverse impact on our market share, reputation, business, financial condition or results of operations.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Currently, our products and services are predominantly offered under Marriott or Ritz-Carlton brand names, and we intend to continue to develop and offer products and services under these brands in the future. If the quality of these brands deteriorates, or the reputation of these brands declines, our market share, reputation, business, financial condition or results of operations could be materially adversely affected.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failure to keep pace with developments in technology could impair our operations or competitive position.</w:t>
      </w:r>
    </w:p>
    <w:p>
      <w:pPr>
        <w:spacing w:after="0" w:line="17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business model and competitive conditions in the vacation ownership industry demand the use of sophisticated technology and systems, including those used for our sales, reservation, inventory management and property management systems, and technologies we make available to our owners. We must refine, update and/or replace these technologies and systems with more advanced systems on a regular basis. If we cannot do so as quickly as our competitors or within budgeted costs and time frames, our business could suffer. We also may not achieve the benefits that we anticipate from any new technology or system, and a failure to do so could result in higher than anticipated costs or could harm our operating results.</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Failure to maintain the integrity of internal or customer data could result in faulty business decisions or operational inefficiencies, damage our reputation and/or subject us to costs, fines or lawsuits.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collect and retain large volumes of internal and customer data, including social security numbers, credit card numbers and other personally identifiable information of our customers in various information systems and those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 Our information systems and records, including those we maintain with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service providers, may be subject to security breaches, cyber attacks, system failures, viruses, operator error or inadvertent releases of data. A significant theft, loss, or fraudulent use of customer, employee or company data maintained by us or by a service provider could adversely impact our 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sale of vacation ownership interests in the secondary market by existing owners could cause our sales revenues and profits to decline.</w:t>
      </w:r>
    </w:p>
    <w:p>
      <w:pPr>
        <w:spacing w:after="0" w:line="194"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Existing owners have offered, and are expected to continue to offer, their vacation ownership interests for sale on the secondary market. The prices at which these interests are sold are typically less than the prices at which we would sell the interests. As a result, these sales create additional pricing pressure on our sale of vacation ownership products, which could cause our sales revenues and profits to decline.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depend on capital to develop, acquire and repurchase vacation ownership inventory, and we may be unable to access capital when necessary.</w:t>
      </w:r>
    </w:p>
    <w:p>
      <w:pPr>
        <w:spacing w:after="0" w:line="2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availability of funds for new investments, primarily developing, acquiring or repurchasing vacation ownership inventory, depends in part on liquidity factors and capital markets over which we can exert little, if any, control. Instability in the financial markets and any resulting contraction of available liquidity and leverage could constrain the capital markets for real estate investments. In addition, we have historically securitized the majority of the consumer loans we originate in support of our North America segment in the ABS market, completing transactions once or twice each year. Instability in the financial markets could also impact the timing and volume of any securitizations we undertake, as well as the financial terms of such securitizations. Any future deterioration in the financial markets could preclude, delay or increase the cost to us of future note securitizations. Such deterioration could also impact our ability to renew the Warehouse Credit Facility, which we must do in order to access funds under that facility after September 2014, on terms favorable to us, or at all.</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Further, the obligations of MVW US Holdings, our consolidated subsidiary, to its preferred shareholders and any indebtedness we incur, including indebtedness under our Revolving Corporate Credit Facility or our Warehouse Credit Facility, may adversely affect our ability to obtain any additional financing necessary to acquire additional vacation ownership inventory or make other investments in our business, or to repurchase vacation ownership interests that our owners propose to sell to third parties.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our ability to issue equity securities to raise capital is limited under the Tax Sharing and Indemnification Agreement. See “</w:t>
      </w:r>
      <w:r>
        <w:rPr>
          <w:rFonts w:ascii="Arial" w:cs="Arial" w:eastAsia="Arial" w:hAnsi="Arial"/>
          <w:sz w:val="18"/>
          <w:szCs w:val="18"/>
          <w:i w:val="1"/>
          <w:iCs w:val="1"/>
          <w:color w:val="auto"/>
        </w:rPr>
        <w:t>—Our ability to</w:t>
      </w:r>
      <w:r>
        <w:rPr>
          <w:rFonts w:ascii="Arial" w:cs="Arial" w:eastAsia="Arial" w:hAnsi="Arial"/>
          <w:sz w:val="18"/>
          <w:szCs w:val="18"/>
          <w:color w:val="auto"/>
        </w:rPr>
        <w:t xml:space="preserve"> </w:t>
      </w:r>
      <w:r>
        <w:rPr>
          <w:rFonts w:ascii="Arial" w:cs="Arial" w:eastAsia="Arial" w:hAnsi="Arial"/>
          <w:sz w:val="18"/>
          <w:szCs w:val="18"/>
          <w:i w:val="1"/>
          <w:iCs w:val="1"/>
          <w:color w:val="auto"/>
        </w:rPr>
        <w:t>engage in acquisitions and other strategic transactions is subject to limitations because we agreed to certain restrictions to comply with U.S. federal income tax requirements for a tax-free spin-off.</w:t>
      </w:r>
      <w:r>
        <w:rPr>
          <w:rFonts w:ascii="Arial" w:cs="Arial" w:eastAsia="Arial" w:hAnsi="Arial"/>
          <w:sz w:val="18"/>
          <w:szCs w:val="18"/>
          <w:color w:val="auto"/>
        </w:rPr>
        <w:t>” If we cannot raise additional capital when needed, it could cause us to reduce spending and otherwise adversely affect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health.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degree to which we are leveraged may have a material adverse effect on our financial position, results of operations and cash flows.</w:t>
      </w:r>
    </w:p>
    <w:p>
      <w:pPr>
        <w:spacing w:after="0" w:line="194"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can borrow up to $200 million under the Revolving Corporate Credit Facility. In addition, our consolidated subsidiary, MVW US Holdings, issued approximately $40 million in mandatorily redeemable preferred stock to Marriott International that Marriott International sold to third-party investors prior to completion of the Spin-Off.</w:t>
      </w:r>
    </w:p>
    <w:p>
      <w:pPr>
        <w:spacing w:after="0" w:line="140" w:lineRule="exact"/>
        <w:rPr>
          <w:sz w:val="20"/>
          <w:szCs w:val="20"/>
          <w:color w:val="auto"/>
        </w:rPr>
      </w:pPr>
    </w:p>
    <w:p>
      <w:pPr>
        <w:ind w:right="40" w:firstLine="456"/>
        <w:spacing w:after="0" w:line="302" w:lineRule="auto"/>
        <w:rPr>
          <w:sz w:val="20"/>
          <w:szCs w:val="20"/>
          <w:color w:val="auto"/>
        </w:rPr>
      </w:pPr>
      <w:r>
        <w:rPr>
          <w:rFonts w:ascii="Arial" w:cs="Arial" w:eastAsia="Arial" w:hAnsi="Arial"/>
          <w:sz w:val="15"/>
          <w:szCs w:val="15"/>
          <w:color w:val="auto"/>
        </w:rPr>
        <w:t>Our ability to make dividend payments to preferred shareholders of our consolidated subsidiary and to make payments on and refinance our indebtedness, including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repay or refinance our debt as it becomes due, we may be forced to sell assets or take other disadvantageous actions, including (1) reducing capital expenditures,</w:t>
      </w:r>
    </w:p>
    <w:p>
      <w:pPr>
        <w:spacing w:after="0" w:line="3" w:lineRule="exact"/>
        <w:rPr>
          <w:sz w:val="20"/>
          <w:szCs w:val="20"/>
          <w:color w:val="auto"/>
        </w:rPr>
      </w:pPr>
    </w:p>
    <w:p>
      <w:pPr>
        <w:ind w:right="20" w:firstLine="8"/>
        <w:spacing w:after="0" w:line="254" w:lineRule="auto"/>
        <w:tabs>
          <w:tab w:leader="none" w:pos="249"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financing offered to customers, which could result in reduced sales, and (3) dedicating an unsustainable level of our cash flow from operations to the payment of principal and interest on our indebtedness. In addition, our ability to withstand competitive pressures and to react to changes in the vacation ownership industry could be impaired. The lenders who hold such debt could also accelerate amounts due, which could potentially trigger a default or acceleration of our other debt.</w:t>
      </w:r>
    </w:p>
    <w:p>
      <w:pPr>
        <w:spacing w:after="0" w:line="144"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b w:val="1"/>
          <w:bCs w:val="1"/>
          <w:i w:val="1"/>
          <w:iCs w:val="1"/>
          <w:color w:val="auto"/>
        </w:rPr>
        <w:t>The terms of any future equity or debt financing may give holders of any preferred securities rights that are senior to rights of our common shareholders or impose more stringent operating restrictions on our company.</w:t>
      </w:r>
    </w:p>
    <w:p>
      <w:pPr>
        <w:spacing w:after="0" w:line="13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Debt or equity financing may not be available to us on acceptable terms. If we incur additional debt or raise equity through the issuance of additional preferred stock,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of our existing shareholders would be diluted.</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24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receivables deteriorate, our vacation ownership notes receivable securitization program could be adversely affected.</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vacation ownership notes receivable securitization program could be adversely affected if a particular vacation ownership receivables pool fails to meet certain ratios, which could occur if the default rates or other credit metrics of the underlying vacation ownership notes receivable deteriorate. Our ability to sell securities backed by our vacation ownership notes receivable depends on the continued ability and willingness of capital market participants to invest in such securities. Asset-backed securities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This would decrease our profitability and might require us to adjust our business operations, including by reducing or suspending our provision of financing to purchasers of vacation ownership interests. Sales of vacation ownership interests may decline if we reduce or suspend the provision of financing to purchasers, which may adversely affect our cash flows, revenues and profits.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Purchaser defaults on the vacation ownership notes receivable our business generates could reduce our revenues, cash flows and profits.</w:t>
      </w:r>
    </w:p>
    <w:p>
      <w:pPr>
        <w:spacing w:after="0" w:line="194"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are subject to the risk that purchasers of our vacation ownership interests may default on the financing that we provide. Purchaser defaults could cause us to foreclose on vacation ownership notes receivable and reclaim ownership of the financed interests, both for loans that we have not securitized and in our role as servicer for the vacation ownership notes receivable we have securitized whether through the ABS market or the Warehouse Credit Facility.</w:t>
      </w:r>
    </w:p>
    <w:p>
      <w:pPr>
        <w:spacing w:after="0" w:line="107"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color w:val="auto"/>
        </w:rPr>
        <w:t>If we cannot resell foreclosed interests in a timely manner or at a price sufficient to repay the vacation ownership notes receivable and our costs we could incur a loss. In addition, vacation ownership notes receivable that we have securitized contain certain portfolio performance requirements related to default and delinquency rates, which, if not met, would result in disruption or loss of cash flow until portfolio performance sufficiently improves to satisfy the requirements.</w:t>
      </w:r>
    </w:p>
    <w:p>
      <w:pPr>
        <w:spacing w:after="0" w:line="8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b w:val="1"/>
          <w:bCs w:val="1"/>
          <w:i w:val="1"/>
          <w:iCs w:val="1"/>
          <w:color w:val="auto"/>
        </w:rPr>
        <w:t>We may incur greater costs as an independent company than we did when we were a part of Marriott International, which could decrease our profitability.</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segment of Marriott International, we were able to take advantage of Marriott International’s size and purchasing power in procuring certain goods and services such as insurance and healthcare benefits, and technology such as computer software licenses. We also relied on Marriott International to provide various financial, administrative and other corporate services. While Marriott International has continued to provide certain of these services on a short-term transitional basis since the Spin-Off, we are required to establish the necessary infrastructure and systems to supply these services for ourselves. We may not be able to complete these efforts without incurring greater costs than we did when we received these services through Marriott International. Increases in the costs of goods and services previously obtained through, or functions previously performed by, Marriott International could cause our profitability to decrease.</w:t>
      </w:r>
    </w:p>
    <w:p>
      <w:pPr>
        <w:spacing w:after="0" w:line="120" w:lineRule="exact"/>
        <w:rPr>
          <w:sz w:val="20"/>
          <w:szCs w:val="20"/>
          <w:color w:val="auto"/>
        </w:rPr>
      </w:pPr>
    </w:p>
    <w:p>
      <w:pPr>
        <w:ind w:right="480" w:firstLine="456"/>
        <w:spacing w:after="0" w:line="306" w:lineRule="auto"/>
        <w:rPr>
          <w:sz w:val="20"/>
          <w:szCs w:val="20"/>
          <w:color w:val="auto"/>
        </w:rPr>
      </w:pPr>
      <w:r>
        <w:rPr>
          <w:rFonts w:ascii="Arial" w:cs="Arial" w:eastAsia="Arial" w:hAnsi="Arial"/>
          <w:sz w:val="16"/>
          <w:szCs w:val="16"/>
          <w:b w:val="1"/>
          <w:bCs w:val="1"/>
          <w:i w:val="1"/>
          <w:iCs w:val="1"/>
          <w:color w:val="auto"/>
        </w:rPr>
        <w:t>If we are not able to favorably assess the effectiveness of our internal control over financial reporting, or if our independent registered public accounting firm is not able to provide an unqualified report on the effectiveness of our internal control over financial reporting, our business, financial condition or results of operations could be materially adversely affected.</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a public entity, we are subject to the reporting requirements of the Exchange Act and requirements of the Sarbanes-Oxley Act of 2002 (the “Sarbanes-Oxley Act”), including the obligation of our management to report on its assessment of the effectiveness of our internal control over financial reporting. We are in the process of establishing new infrastructure and systems, including infrastructure and systems to replace financial, administrative and other corporate services that are currently being provided by Marriott International, some of which may impact our ability to favorably assess the effectiveness of our internal control over financial reporting. If we cannot favorably assess the effectiveness of our internal control over financial reporting, or our independent registered public accounting firm cannot provide an unqualified report on the effectiveness of our internal control over financial reporting, investor confidence and, in turn, the market price of our common stock could decline.</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If we cannot dispose of excess land and Luxury segment real estate inventory at favorable prices or at all, our future cash flows and net income could be reduced.</w:t>
      </w:r>
    </w:p>
    <w:p>
      <w:pPr>
        <w:spacing w:after="0" w:line="13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excess land that was purchased for future development, as well as excess built Luxury segment real estate inventory at a few of our projects. Current economic conditions, as well as restrictions such as zoning, entitlement, contractual and similar restrictions related to the excess land and inventory could adversely affect our ability to dispose of properties at favorable prices or at all. We are responsible for maintenance fees and operating costs relating to this unsold excess land and inventory. If we are not able to sell this excess land and inventory we will continue to bear these costs, which may increase over time, and our net income will be reduced.</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If we identify additional excess land and inventory in the future, or if our estimates of the fair value of our excess land and inventory change, our financial position and results of operations could be adversely affected.</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Based on our current plans, we believe we have identified all excess land and inventory. However, if our plans change, we may conclude in the future that additional land and inventory are excess, in which case we would likely terminate plans to develop such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land and instead seek to dispose of such excess land and inventory through bulk sales or other methods. If we identify additional excess land and inventory in the future, we may have to record additional non-cash impairment charges to write-down the value of such assets. Any such impairment charges may have an adverse impact on our financial position and results of operations. The sale of any such additional excess land and inventory will be subject to the risks described in the risk factor entitled “—</w:t>
      </w:r>
      <w:r>
        <w:rPr>
          <w:rFonts w:ascii="Arial" w:cs="Arial" w:eastAsia="Arial" w:hAnsi="Arial"/>
          <w:sz w:val="16"/>
          <w:szCs w:val="16"/>
          <w:i w:val="1"/>
          <w:iCs w:val="1"/>
          <w:color w:val="auto"/>
        </w:rPr>
        <w:t>If we cannot dispose of excess land and Luxury segment real estate inventory at favorable prices or at all, our future cash flows and net</w:t>
      </w:r>
      <w:r>
        <w:rPr>
          <w:rFonts w:ascii="Arial" w:cs="Arial" w:eastAsia="Arial" w:hAnsi="Arial"/>
          <w:sz w:val="16"/>
          <w:szCs w:val="16"/>
          <w:color w:val="auto"/>
        </w:rPr>
        <w:t xml:space="preserve"> </w:t>
      </w:r>
      <w:r>
        <w:rPr>
          <w:rFonts w:ascii="Arial" w:cs="Arial" w:eastAsia="Arial" w:hAnsi="Arial"/>
          <w:sz w:val="16"/>
          <w:szCs w:val="16"/>
          <w:i w:val="1"/>
          <w:iCs w:val="1"/>
          <w:color w:val="auto"/>
        </w:rPr>
        <w:t>income could be reduced</w:t>
      </w:r>
      <w:r>
        <w:rPr>
          <w:rFonts w:ascii="Arial" w:cs="Arial" w:eastAsia="Arial" w:hAnsi="Arial"/>
          <w:sz w:val="16"/>
          <w:szCs w:val="16"/>
          <w:color w:val="auto"/>
        </w:rPr>
        <w:t>.” In addition, if real estate market conditions change, our estimates of the fair value of our excess land and Luxury inventory may</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If our estimates of the fair value of these assets decline, we may have to record additional non-cash impairment charges to write-down the value of such assets to the estimated fair value. Any such impairment charges may have an adverse impact on our financial position and results of operations.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obligations of MVW US Holdings to its preferred shareholders will limit the ability of MVW US Holdings to distribute cash to us.</w:t>
      </w:r>
    </w:p>
    <w:p>
      <w:pPr>
        <w:spacing w:after="0" w:line="19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Our subsidiary, MVW US Holdings, issued approximately $40 million in mandatorily redeemable preferred stock to Marriott International, which sold the preferred stock to third-party investors prior to completion of the Spin-Off. For the first five years the Series A preferred stock will pay an annual cash dividend equal to the five year U.S. Treasury Rate as of October 19, 2011 plus a spread of 10.958 percent, for a total annual cash dividend rate of 12 percent. On the fifth anniversary of issuance, the annual cash dividend rate will be reset to the five year U.S. Treasury Rate in effect on such date plus the same 10.958 percent spread. The payment of this dividend will reduce the amount of cash otherwise available for distribution by MVW US Holdings to us for further distribution to our common shareholders or for other corporate purposes. MVW US Holdings will not be able to pay any dividends to us if it is in arrears on the payment of dividends to the preferred shareholders. In addition, in the event of a liquidation of MVW US Holdings, the preferred shareholders will be entitled to an aggregate liquidation preference of $40 million plus any accrued and unpaid dividends and a premium if the liquidation occurs during the first five years after issuance of the preferred stock, which will reduce the amount of cash available for distribution by MVW US Holdings to us. Further, if MVW US Holdings either (1) is in arrears on the payment of six or more quarterly dividend payments on the preferred stock, whether or not the payment dates are consecutive, or (2) defaults on its obligations to redeem the preferred stock on the tenth anniversary of issuance or following a change of control, the preferred shareholders may designate a representative to attend meetings of our Board as a non-voting observer until all unpaid dividends on the outstanding shares of preferred stock have been paid or all such unpaid dividends have been paid or declared with an amount sufficient for the payment set aside for payment, or the shares required to be redeemed have been redeemed, as applicable.</w:t>
      </w:r>
    </w:p>
    <w:p>
      <w:pPr>
        <w:spacing w:after="0" w:line="128"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Our industry is competitive, which may impact our ability to compete successfully with other vacation ownership brands and with other vacation rental options for customers.</w:t>
      </w:r>
    </w:p>
    <w:p>
      <w:pPr>
        <w:spacing w:after="0" w:line="1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 number of highly competitive companies participate in the vacation ownership industry, including several branded hotel companies. Our brands compete with the vacation ownership brands of major hotel chains in national and international venues, as well as with the vacation rental options (such as hotels, resorts and condominium rentals) offered by the lodging industry. In addition, under our License Agreements with Marriott International and Ritz-Carlton, if other international hotel operators offer new products and services as part of their respective hotel businesses that may directly compete with our vacation ownership products and services in the future, then Marriott International and Ritz-Carlton may also offer such new products and services, and use their respective trademarks in connection with such offers. If Marriott International or Ritz-Carlton offer new vacation ownership products and services under their trademarks, our vacation ownership products and services may compete directly with those of Marriott International or Ritz-Carlton, and we may not be able to distinguish our vacation ownership products and services from those offered by Marriott International and Ritz-Carlton.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points-based product form exposes us to an increased risk of temporary inventory depletion.</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Selling vacation ownership interests in a system of resorts under a points-based business model increases the risk of temporary inventory depletion. We sell vacation ownership interests denominated in points from a single trust entity in each of our North America and Asia Pacific business segments. Thus, the primary source of inventory for each of these segments is concentrated in its corresponding trust. In contrast, under our prior business model, we sold weeks-based vacation ownership interests tied to specific resorts; we thus had more sources of inventory (</w:t>
      </w:r>
      <w:r>
        <w:rPr>
          <w:rFonts w:ascii="Arial" w:cs="Arial" w:eastAsia="Arial" w:hAnsi="Arial"/>
          <w:sz w:val="18"/>
          <w:szCs w:val="18"/>
          <w:i w:val="1"/>
          <w:iCs w:val="1"/>
          <w:color w:val="auto"/>
        </w:rPr>
        <w:t>i.e.</w:t>
      </w:r>
      <w:r>
        <w:rPr>
          <w:rFonts w:ascii="Arial" w:cs="Arial" w:eastAsia="Arial" w:hAnsi="Arial"/>
          <w:sz w:val="18"/>
          <w:szCs w:val="18"/>
          <w:color w:val="auto"/>
        </w:rPr>
        <w:t>, resorts), and the risk of inventory depletion was diffused among those sources of inventory.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Temporary depletion of inventory available for sale can be caused by three primary factors: (1) delayed delivery of inventory under construction;</w:t>
      </w:r>
    </w:p>
    <w:p>
      <w:pPr>
        <w:spacing w:after="0" w:line="38" w:lineRule="exact"/>
        <w:rPr>
          <w:sz w:val="20"/>
          <w:szCs w:val="20"/>
          <w:color w:val="auto"/>
        </w:rPr>
      </w:pPr>
    </w:p>
    <w:p>
      <w:pPr>
        <w:ind w:right="20" w:firstLine="8"/>
        <w:spacing w:after="0" w:line="302"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This could reduce our cash flow and have a negative impact on our results of operations.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growth of our business and the execution of our business strategies depend on the services of our senior management and our associates.</w:t>
      </w:r>
    </w:p>
    <w:p>
      <w:pPr>
        <w:spacing w:after="0" w:line="20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our future growth depends, in part, on the continued services of our senior management team, including our President and Chief Executive Officer, Stephen P. Weisz. The loss of any members of our senior management team could adversely affect our strategic and customer relationships and impede our ability to execute our business strategies.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Our business is subject to extensive regulation, and any failure to comply with applicable laws and regulations could have a material adverse effect on our business.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is regulated under a wide variety of laws, regulations and policies in jurisdictions around the world. Our real estate development activities, for example, are subject to laws and regulations typically applicable to real estate development, subdivision and construction activities, such as laws relating to zoning, land use restrictions, environmental regulation, accessibility, title transfers, title insurance and taxation. Laws in some jurisdictions also impose liability on property developers for construction defects discovered or repairs made by future owners of property developed by the developer. Various laws also govern our lending activities and our resort management activities, including the laws described in “Business—Regulation.”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number of laws govern our marketing and sales activities, such as vacation ownership and land sales acts, fair housing statutes, anti-fraud laws, sweepstakes laws, real estate licensing laws, telemarketing laws, home solicitation sales laws, tour operator laws, seller of travel laws, securities laws, consumer privacy laws and consumer protection laws. In addition, laws in many jurisdictions in which we sell vacation ownership interests grant the purchaser of a vacation ownership interest the right to cancel a purchase contract during a specified rescission period.</w:t>
      </w:r>
    </w:p>
    <w:p>
      <w:pPr>
        <w:spacing w:after="0" w:line="11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 recent years, “do not call” legislation has significantly increased the costs associated with telemarketing. We have implemented procedures that we believe will help reduce the possibility that we contact individuals on regulatory “do not call” lists, but such procedures may not be effective in ensuring regulatory compliance. Additionally we are not considered an affiliate of Marriott International for purposes of “do not call” legislation in some jurisdictions, which may make it more difficult for us to utilize customer information we obtain from Marriott International.</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regardless of our default under certain circumstances (for example, upon a super-majority vote of the owners). Such statutory provisions expose us to a risk that one or more of our management agreements may not be renewed or may be terminated prior to the end of the term specified in such agreements. Upon non-renewal or termination of our management agreement for a particular resort, such resort loses the ability to use the Marriott or Ritz-Carlton name and trademarks and ceases to be a part of our system. In addition, we lose the management fee revenue associated with such resort.</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may not be successful in maintaining compliance with all laws, regulations and policies to which we are currently subject, and the cost of compliance with such laws, regulations and policies could be significant.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Failure to comply with applicable laws could also render sales contracts for our products void or voidable, subject us to fines or other sanctions and increase our exposure to litigation.</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privacy law could adversely affect our ability to market our products effectively.</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and the CANSPAM Act,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vacation ownership interests and other products. We also obtain access to potential customers from travel service providers or other companies with whom we have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tax regulations could reduce our profits or increase our costs.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Jurisdictions in which we do business may at any time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costly changes to those operations, or the way that we structure them. For example, most U.S. company effective tax rates reflect the fact that income earned and reinvested outside the United States is generally taxed at local rates, which are often much lower than U.S. tax rates. If changes in tax laws, regulations or interpretations were to significantly increase the tax rates on non-U.S. income, our effective tax rate could increase, our profits could be reduced, and if such increases were a result of our status as a U.S. company, we could be placed at a disadvantage to our non-U.S. competitors if those competitors remain subject to lower local tax rates.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w:t>
      </w:r>
    </w:p>
    <w:p>
      <w:pPr>
        <w:spacing w:after="0" w:line="17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profitability of the vacation ownership resorts that we develop and manage may be adversely affected by a number of factors that can disrupt or deter travel. For example, fear of exposure to contagious diseases, such as H1N1 Flu, Avian Flu and Severe Acute Respiratory Syndrome, or natural or man-made disasters, such as earthquakes, tsunamis, hurricanes, floods, fires, volcanic eruptions, radiation releases and oil spills, may deter travelers from scheduling sales tours at our resorts or cause them to cancel travel plans. Actual or threatened war, civil unrest and terrorist activity, as well as heightened travel security measures instituted in response to the same, could also interrupt or deter travel plans. In addition, demand for vacation options such as our vacation ownership products may decrease if the cost of travel, including the cost of transportation and fuel, increases or if general economic conditions decline. Changes in the desirability of the locations where we develop and manage resorts as vacation destinations and changes in vacation and travel patterns may adversely affect our cash flows, revenue and profits.</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Disagreements with the owners of vacation ownership interests and property owners’ associations may result in litigation and the loss of management contracts.</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nature of our relationships with our owners and our responsibilities in managing our vacation ownership properties will from time to time give rise to disagreements with the owners of vacation ownership interests and property owners’ associations. Owners of our vacation ownership interests may also disagree with changes we make to our products or programs. We seek to expeditiously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could also result in the loss of management contracts.</w:t>
      </w:r>
    </w:p>
    <w:p>
      <w:pPr>
        <w:spacing w:after="0" w:line="118"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b w:val="1"/>
          <w:bCs w:val="1"/>
          <w:i w:val="1"/>
          <w:iCs w:val="1"/>
          <w:color w:val="auto"/>
        </w:rPr>
        <w:t>The maintenance and refurbishment of vacation ownership properties depends on maintenance fees paid by the owners of vacation ownership interests.</w:t>
      </w:r>
    </w:p>
    <w:p>
      <w:pPr>
        <w:spacing w:after="0" w:line="132"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Owners of our vacation ownership interests must pay maintenance fees levied by property owners’ association boards. These maintenance fees are used to maintain and refurbish the vacation ownership properties and to keep the properties in compliance with Marriott and Ritz-Carlton brand standards. If property owners’ association boards do not levy sufficient maintenance fees, or if owners of vacation ownership interests do not pay their maintenance fees, the vacation ownership properties could fall into disrepair and fail to comply with applicable brand standards. If a resort fails to comply with applicable brand standards, Marriott International or Ritz-Carlton could terminate our rights under the applicable License Agreement to use its trademarks at the non-compliant resort, which would result in the loss of management fees, decrease customer satisfaction and impair our ability to market and sell our products at the non-compliant locations.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71"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vacation ownership interests or in some cases may not provide a recovery for any part of a loss. As a result, we could lose some or all of the capital we have invested in a property, as well as the anticipated future revenue from the property, and we could remain obligated under guarantees or other financial obligations related to the property.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71"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Both directly and through arrangements with third parties, we develop new vacation ownership properties and new phases of existing vacation ownership properties. Our ongoing involvement in the development of inventory presents a number of risks, including that: (1) weakness in the capital markets may limit our ability, or that of third parties with whom we do business, to raise capital for completion of projects or for development of future properties; (2) to the extent construction costs escalate faster than the pace at which we can increase the price of vacation ownership interests, our profits may be adversely affected;</w:t>
      </w:r>
    </w:p>
    <w:p>
      <w:pPr>
        <w:spacing w:after="0" w:line="3" w:lineRule="exact"/>
        <w:rPr>
          <w:sz w:val="20"/>
          <w:szCs w:val="20"/>
          <w:color w:val="auto"/>
        </w:rPr>
      </w:pPr>
    </w:p>
    <w:p>
      <w:pPr>
        <w:ind w:right="300" w:firstLine="8"/>
        <w:spacing w:after="0" w:line="300" w:lineRule="auto"/>
        <w:tabs>
          <w:tab w:leader="none" w:pos="249" w:val="left"/>
        </w:tabs>
        <w:numPr>
          <w:ilvl w:val="0"/>
          <w:numId w:val="6"/>
        </w:numPr>
        <w:rPr>
          <w:rFonts w:ascii="Arial" w:cs="Arial" w:eastAsia="Arial" w:hAnsi="Arial"/>
          <w:sz w:val="15"/>
          <w:szCs w:val="15"/>
          <w:color w:val="auto"/>
        </w:rPr>
      </w:pPr>
      <w:r>
        <w:rPr>
          <w:rFonts w:ascii="Arial" w:cs="Arial" w:eastAsia="Arial" w:hAnsi="Arial"/>
          <w:sz w:val="15"/>
          <w:szCs w:val="15"/>
          <w:color w:val="auto"/>
        </w:rPr>
        <w:t>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and</w:t>
      </w:r>
    </w:p>
    <w:p>
      <w:pPr>
        <w:ind w:right="520" w:firstLine="8"/>
        <w:spacing w:after="0" w:line="261" w:lineRule="auto"/>
        <w:tabs>
          <w:tab w:leader="none" w:pos="24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liability or alleged liability associated with latent defects in projects we have constructed or that we construct in the future may adversely affect our business, financial condition and reputation.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 business in over 30 countries and territories, and our operations outside the United States represented approximately 15 percent of our revenues in 2012. International properties and operations expose us to a number of additional challenges and risks, including the following, any of which could reduce our revenues or profits, increase our costs, or disrupt our business: (1) complex and changing laws, regulations and policies of governments that may impact our operations, including foreign ownership restrictions, import and export controls, and trade restrictions; (2) U.S. laws that affect the activities of U.S. companies abroad; (3) limitations on our ability to repatriate non-U.S. earnings in a tax-effective manner; (4) the difficulties involved in managing an organization doing business in many different countries; (5) uncertainties as to the enforceability of contract and intellectual property rights under local laws; (6) rapid changes in government policy, political or civil unrest, acts of terrorism or the threat of international boycotts or U.S. anti-boycott legislation; and (7) currency exchange rate fluctuations.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Our ability to engage in acquisitions and other strategic transactions is subject to limitations because we agreed to certain restrictions to comply with U.S. federal income tax requirements for a tax-free spin-off.</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To preserve the favorable tax treatment of the Spin-Off distribution and related transactions, we must comply with restrictions under current U.S. federal income tax laws for spin-offs such as restrictions requiring us to: refrain from engaging in certain transactions that would result in a 50 percent or greater change by vote or by value in our stock ownership during the four-year period beginning on the date that begins two years before the distribution date, and continue to own and manage our vacation ownership business and limit sales or redemptions of our common stock for cash or other property following the distribution, except in connection with certain stock-for-stock acquisitions and other permitted transactions. If these restrictions are not followed, the distribution could be taxable to Marriott International and Marriott International shareholders.</w:t>
      </w:r>
    </w:p>
    <w:p>
      <w:pPr>
        <w:spacing w:after="0" w:line="12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Tax Sharing and Indemnification Agreement we entered into with Marriott International in connection with the Spin-Off allocates between Marriott International and ourselves responsibility for U.S. federal, state and local and non-U.S. income and other taxes relating to taxable periods before and after the distribution and provide for computing and apportioning tax liabilities and tax benefits between the parties. In the Tax Sharing and Indemnification Agreement, we also represented that certain materials relating to us submitted to the IRS in connection with the ruling request are complete and accurate in all material respects, and we agreed that, among other things, we may not (1) take or fail to take any action that would cause such materials (or representations included therein) to be untrue or cause the distribution to lose its tax-free status under Sections 368(a)(1)(D) and/or 355 of the Code and (2) during the two-year period following the Spin-Off, except in certain specified transactions, sell, issue or redeem our equity securities (or those of certain of our subsidiaries) or liquidate, merge or consolidate with another person or sell or dispose of a substantial portion of our assets (or those of certain of our subsidiaries). During this two-year period, we may take certain actions prohibited by these covenants if we obtain the approval of Marriott International or we provide Marriott International with an IRS ruling or an unqualified opinion of tax counsel, acceptable to Marriott International, to the effect that these actions will not affect the tax-free nature of the distribution. These restrictions could limit our strategic and operational flexibility, including our ability to finance our operations by issuing equity securities, make acquisitions using equity securities, repurchase our equity securities, raise money by selling assets or enter into business combination transactions.</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We agreed to indemnify Marriott International for taxes and related losses resulting from actions we take that cause the distribution to fail to qualify as a tax-free transaction.</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Pursuant to the Tax Sharing and Indemnification Agreement we entered into with Marriott International, we have agreed to indemnify Marriott International for certain taxes and related losses resulting from (1) any breach of the covenants regarding the preservation of the tax-free status of the distribution and the intended tax treatment of certain related transactions undertaken in connection with the distribution, (2) certain acquisitions of our equity securities or assets or those of certain of our subsidiaries, and (3) any breach by us or any member of our group of certain of our representations in the documents submitted to the IRS and the separation documents between Marriott International and us. The amount of Marriott International’s taxes for which we have agreed to indemnify Marriott International in respect of the distribution will be based on the excess, if any, of the aggregate fair market value of our stock over Marriott International’s tax basis in our stock at the time of the distribution of our common stock in the Spin-Off. In addition, if the distribution fails to qualify as a tax-free transaction for reasons other than those specified in the Spin-Off tax indemnification provisions, liability for any resulting taxes related to the distribution will be apportioned between Marriott International and us based on the relative fair market values of Marriott International and us. In addition, Marriott International expects to recognize, for U.S. federal income tax purposes, significant built-in losses in properties used in the vacation ownership and related residential businesses. If Marriott International’s U.S. federal consolidated group is unable to deduct these losses for U.S. federal income tax purposes, and, instead, the tax basis of the properties that is attributable to the built-in losses is available to our U.S. federal consolidated group, we have agreed to indemnify Marriott International for certain lost tax benefits that Marriott International otherwise would have recognized if Marriott International’s U.S. federal consolidated group was able to deduct such losses. The amount of any future indemnification payments could be substantial.</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If the distribution does not qualify for tax-free treatment at the shareholder level, our shareholders who received shares in the Spin-Off will be taxed on their receipt of our stock.</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IRS could determine the distribution to be taxable even though Marriott International received a private letter ruling and an opinion from its tax counsel that, for U.S. federal income tax purposes, the distribution of shares of Marriott Vacations Worldwide common stock would be tax-free to Marriott International and Marriott International shareholders under Sections 368(a)(1)(D) and/or 355 of the Internal Revenue Code. In addition, certain future events that may or may not be within the control of Marriott International or our company, including certain extraordinary purchases of Marriott International common stock or our common stock, could cause the distribution not to qualify as tax-free. If the distribution does not qualify for tax-free treatment at the shareholder level, our shareholders who received shares in the Spin-Off will be taxed on the full value of our shares received (without reduction for any portion of a shareholder’s tax basis in Marriott International shares) as a dividend for U.S. federal income tax purposes and possibly for purposes of U.S. state and local tax law to the extent of their pro rata share of Marriott International’s current and accumulated earnings and profits (as increased by any gain recognized by Marriott International on the distribution).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Spin-Off may expose us to potential liabilities arising out of state and federal fraudulent conveyance laws and legal dividend requirements.</w:t>
      </w:r>
    </w:p>
    <w:p>
      <w:pPr>
        <w:spacing w:after="0" w:line="19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Spin-Off is subject to review under various state and federal fraudulent conveyance laws. Fraudulent conveyance laws generally provide that an entity engages in a constructive fraudulent conveyance when (1) the entity transfers assets and does not receive fair consideration or reasonably equivalent value in return, and (2) the entity (a) is insolvent at the time of the transfer or is rendered insolvent by the transfer, (b) has unreasonably small capital with which to carry on its business, or (c) intends to incur or believes it will incur debts beyond its ability to repay its debts as they mature. An unpaid creditor or an entity acting on behalf of a creditor (including without limitation a trustee or debtor-in-possession in a bankruptcy by us or Marriott International or any of our respective subsidiaries) may bring a lawsuit alleging that the Spin-Off or any of the related transactions constituted a constructive fraudulent conveyance. If a court accepts these allegations, it could impose a number of remedies, including without limitation, voiding our claims against Marriott International, requiring our shareholders to return to Marriott International some or all of the shares of our common stock issued in the Spin-Off, or providing Marriott International with a claim for money damages against us in an amount equal to the difference between the consideration received by Marriott International and the fair market value of our company at the time of the Spin-Off.</w:t>
      </w:r>
    </w:p>
    <w:p>
      <w:pPr>
        <w:spacing w:after="0" w:line="12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measure of insolvency for purposes of the fraudulent conveyance laws will vary depending on which jurisdiction’s law is applied. Generally, an entity would be considered insolvent if (1) the present fair saleable value of its assets is less than the amount of its liabilities (including contingent liabilities); (2) the present fair saleable value of its assets is less than its probable liabilities on its debts as such debts become absolute and matured; (3) it cannot pay its debts and other liabilities (including contingent liabilities and other commitments) as they mature; or (4) it has unreasonably small capital for the business in which it is engaged. We cannot provide assurance as to what standard a court would apply to determine insolvency or that a court would determine that we, Marriott International or any of our respective subsidiaries were solvent at the time of or after giving effect to the Spin-Off.</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distribution of our common stock is also subject to review under state corporate distribution statutes. Under the General Corporation Law of the State of Delaware (the “DGCL”), a corporation may only pay dividends to its shareholders either (1) out of its surplus (net assets minus capital) or (2) if there is no such surplus, out of its net profits for the fiscal year in which the dividend is declared and/or the preceding fiscal year. Although it was the intention of Marriott International to make the distribution of our common stock entirely from surplus, a court could later determine that some or all of the distribution to Marriott International shareholders was unlawful.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Marriott International board of directors obtained an opinion that each of us and Marriott International would be solvent at the time of the Spin-Off (including immediately after the payment of the dividend and the Spin-Off), would be able to repay its debts as they mature following the Spin-Off and would have sufficient capital to carry on its businesses and the Spin-Off and the distribution would be made entirely out of surplus in accordance with Section 170 of the DGCL. A court could reach conclusions different from those set forth in such opinion in determining whether Marriott International or we were insolvent at the time of, or after giving effect to, the Spin-Off, or whether lawful funds were available for the separation and the distribution to Marriott International’s shareholders.</w:t>
      </w:r>
    </w:p>
    <w:p>
      <w:pPr>
        <w:spacing w:after="0" w:line="144"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A court could require that we assume responsibility for obligations allocated to Marriott International under the Separation and Distribution Agreement.</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Separation and Distribution Agreement, from and after the Spin-Off, each of us and Marriott International are responsible for the debts, liabilities and other obligations related to the business or businesses it owns and operates following the consummation of the Spin-Off. Although we do not expect to be liable for any obligations that were not allocated to us under the Separation and Distribution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Certain of our executive officers and directors may have actual or potential conflicts of interest because of their ownership of Marriott International equity or their current or former positions in Marriott International.</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a substantial financial interest in Marriott International as a result of their ownership of Marriott International stock, options and other equity awards. These relationships and financial interests may create, or may create the appearance of, conflicts of interest when these directors and officers face decisions that could have different implications for Marriott International than for us.</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addition, one of our Board members, Deborah Marriott Harrison, is employed by Marriott International and is also the daughter of the chairman of the board of directors of Marriott International. These facts may also create, or may create the appearance of, conflicts of interest.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common stock has a limited trading history. The market price of our common stock may fluctuate widely, depending on many factors, some of which may be beyond our control, including:</w:t>
      </w:r>
    </w:p>
    <w:p>
      <w:pPr>
        <w:spacing w:after="0" w:line="51"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business developments or significant acquisitions or dispositions;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securities analysts to continue to cover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investor perception of our company and the vacation ownership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initiation of or developments in legal proceedings;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adversely affect the trading price of our common stock.</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and in our agreements with Marriott International could delay or prevent a change in control.</w:t>
      </w:r>
    </w:p>
    <w:p>
      <w:pPr>
        <w:spacing w:after="0" w:line="132"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to issue one or more series of preferred stock. The holders of the preferred stock issued by our subsidiary MVW US Holdings have the right to require MVW US Holdings to redeem the preferred stock if we sell all or substantially all of our assets or MVW US Holdings sells all or substantially all of its assets or completes a change of control, as defined in the terms of the preferred stock. These provisions may also discourage acquisition proposals or delay or prevent a change in control, which could harm our stock price. In addition, Delaware law also imposes some restrictions on mergers and other business combinations between any holder of 15 percent or more of our outstanding common stock and us.</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addition, provisions in our agreements with Marriott International may delay or prevent a merger or acquisition that a shareholder may consider favorable. Under the Tax Sharing and Indemnification Agreement, we agreed not to enter into 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transaction involving an acquisition or issuance of our common stock or any other transaction (or, to the extent we have the right to prohibit it, to permit any such transaction) that could reasonably be expected to cause the distribution of our common stock to be taxable to Marriott International. We are required to indemnify Marriott International for any tax resulting from any such prohibited transaction, and we are required to meet various requirements, including obtaining the approval of Marriott International or obtaining an IRS ruling or unqualified opinion of tax counsel acceptable to Marriott International, before engaging in such transactions. Further, our License Agreements with Marriott International and Ritz-Carlton provide that a change in control may not occur without the consent of Marriott International or Ritz-Carlton, respectively.</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28, 2012, we managed 64 vacation ownership or residential properties in the United States and nine other countries and territories. These vacation ownership and residential properties are described in Part I, Item 1, “Business,” of this Annual Report. Except as indicated in Part I, Item 1, “Business,” we own all unsold inventory at these properties. We also own, manage or lease golf courses, fitness, spa and sports facilities, undeveloped land and other common area assets at some of our resorts, including resort lobbies and food and beverage outlets.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own or lease our regional offices and sales centers, both in the United States and internationally. Our corporate headquarters in Orlando, Florida consists of approximately 175,000 square feet of leased space in two buildings, under a lease expiring in August 2021. We also own an office facility in Lakeland, Florida consisting of approximately 125,000 square feet.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9, “Contingencies and Commitments,” to our Consolidated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right="192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common stock currently is traded on the New York Stock Exchange, or the “NYSE,” under the symbol “VAC.” The following table sets forth the high and low sales prices for our common stock for the indicated periods. Prior to November 8, 2011, there was no public market for our common stock. A “when-issued” trading market for our common stock on the NYSE began on November 8, 2011, and “regular way” trading of our common stock began on November 22, 2011. We have not made any unregistered sales of our equity securities.</w:t>
      </w:r>
    </w:p>
    <w:p>
      <w:pPr>
        <w:spacing w:after="0" w:line="1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16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Quarter ended March 23, 2012</w:t>
            </w:r>
          </w:p>
        </w:tc>
        <w:tc>
          <w:tcPr>
            <w:tcW w:w="2140" w:type="dxa"/>
            <w:vAlign w:val="bottom"/>
            <w:gridSpan w:val="2"/>
          </w:tcPr>
          <w:p>
            <w:pPr>
              <w:jc w:val="center"/>
              <w:ind w:left="1552"/>
              <w:spacing w:after="0"/>
              <w:rPr>
                <w:sz w:val="20"/>
                <w:szCs w:val="20"/>
                <w:color w:val="auto"/>
              </w:rPr>
            </w:pPr>
            <w:r>
              <w:rPr>
                <w:rFonts w:ascii="Arial" w:cs="Arial" w:eastAsia="Arial" w:hAnsi="Arial"/>
                <w:sz w:val="18"/>
                <w:szCs w:val="18"/>
                <w:color w:val="auto"/>
                <w:w w:val="90"/>
              </w:rPr>
              <w:t>$28.03</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$17.35</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Quarter ended June 15, 2012</w:t>
            </w:r>
          </w:p>
        </w:tc>
        <w:tc>
          <w:tcPr>
            <w:tcW w:w="2140" w:type="dxa"/>
            <w:vAlign w:val="bottom"/>
            <w:gridSpan w:val="2"/>
            <w:shd w:val="clear" w:color="auto" w:fill="CCEEFF"/>
          </w:tcPr>
          <w:p>
            <w:pPr>
              <w:jc w:val="center"/>
              <w:ind w:left="1552"/>
              <w:spacing w:after="0"/>
              <w:rPr>
                <w:sz w:val="20"/>
                <w:szCs w:val="20"/>
                <w:color w:val="auto"/>
              </w:rPr>
            </w:pPr>
            <w:r>
              <w:rPr>
                <w:rFonts w:ascii="Arial" w:cs="Arial" w:eastAsia="Arial" w:hAnsi="Arial"/>
                <w:sz w:val="18"/>
                <w:szCs w:val="18"/>
                <w:color w:val="auto"/>
                <w:w w:val="90"/>
              </w:rPr>
              <w:t>$33.64</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$26.02</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ind w:left="440"/>
              <w:spacing w:after="0"/>
              <w:rPr>
                <w:sz w:val="20"/>
                <w:szCs w:val="20"/>
                <w:color w:val="auto"/>
              </w:rPr>
            </w:pPr>
            <w:r>
              <w:rPr>
                <w:rFonts w:ascii="Arial" w:cs="Arial" w:eastAsia="Arial" w:hAnsi="Arial"/>
                <w:sz w:val="18"/>
                <w:szCs w:val="18"/>
                <w:color w:val="auto"/>
              </w:rPr>
              <w:t>Quarter ended September 7, 2012</w:t>
            </w:r>
          </w:p>
        </w:tc>
        <w:tc>
          <w:tcPr>
            <w:tcW w:w="2140" w:type="dxa"/>
            <w:vAlign w:val="bottom"/>
            <w:gridSpan w:val="2"/>
          </w:tcPr>
          <w:p>
            <w:pPr>
              <w:jc w:val="center"/>
              <w:ind w:left="1552"/>
              <w:spacing w:after="0"/>
              <w:rPr>
                <w:sz w:val="20"/>
                <w:szCs w:val="20"/>
                <w:color w:val="auto"/>
              </w:rPr>
            </w:pPr>
            <w:r>
              <w:rPr>
                <w:rFonts w:ascii="Arial" w:cs="Arial" w:eastAsia="Arial" w:hAnsi="Arial"/>
                <w:sz w:val="18"/>
                <w:szCs w:val="18"/>
                <w:color w:val="auto"/>
                <w:w w:val="90"/>
              </w:rPr>
              <w:t>$33.02</w:t>
            </w:r>
          </w:p>
        </w:tc>
        <w:tc>
          <w:tcPr>
            <w:tcW w:w="940" w:type="dxa"/>
            <w:vAlign w:val="bottom"/>
            <w:gridSpan w:val="2"/>
          </w:tcPr>
          <w:p>
            <w:pPr>
              <w:jc w:val="center"/>
              <w:ind w:left="352"/>
              <w:spacing w:after="0"/>
              <w:rPr>
                <w:sz w:val="20"/>
                <w:szCs w:val="20"/>
                <w:color w:val="auto"/>
              </w:rPr>
            </w:pPr>
            <w:r>
              <w:rPr>
                <w:rFonts w:ascii="Arial" w:cs="Arial" w:eastAsia="Arial" w:hAnsi="Arial"/>
                <w:sz w:val="18"/>
                <w:szCs w:val="18"/>
                <w:color w:val="auto"/>
                <w:w w:val="90"/>
              </w:rPr>
              <w:t>$27.77</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Quarter ended December 28, 2012</w:t>
            </w:r>
          </w:p>
        </w:tc>
        <w:tc>
          <w:tcPr>
            <w:tcW w:w="2140" w:type="dxa"/>
            <w:vAlign w:val="bottom"/>
            <w:gridSpan w:val="2"/>
            <w:shd w:val="clear" w:color="auto" w:fill="CCEEFF"/>
          </w:tcPr>
          <w:p>
            <w:pPr>
              <w:jc w:val="center"/>
              <w:ind w:left="1552"/>
              <w:spacing w:after="0"/>
              <w:rPr>
                <w:sz w:val="20"/>
                <w:szCs w:val="20"/>
                <w:color w:val="auto"/>
              </w:rPr>
            </w:pPr>
            <w:r>
              <w:rPr>
                <w:rFonts w:ascii="Arial" w:cs="Arial" w:eastAsia="Arial" w:hAnsi="Arial"/>
                <w:sz w:val="18"/>
                <w:szCs w:val="18"/>
                <w:color w:val="auto"/>
                <w:w w:val="90"/>
              </w:rPr>
              <w:t>$42.16</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$32.60</w:t>
            </w:r>
          </w:p>
        </w:tc>
        <w:tc>
          <w:tcPr>
            <w:tcW w:w="100" w:type="dxa"/>
            <w:vAlign w:val="bottom"/>
            <w:shd w:val="clear" w:color="auto" w:fill="CCEEFF"/>
          </w:tcPr>
          <w:p>
            <w:pPr>
              <w:spacing w:after="0"/>
              <w:rPr>
                <w:sz w:val="18"/>
                <w:szCs w:val="18"/>
                <w:color w:val="auto"/>
              </w:rPr>
            </w:pPr>
          </w:p>
        </w:tc>
      </w:tr>
      <w:tr>
        <w:trPr>
          <w:trHeight w:val="323"/>
        </w:trPr>
        <w:tc>
          <w:tcPr>
            <w:tcW w:w="5500" w:type="dxa"/>
            <w:vAlign w:val="bottom"/>
          </w:tcPr>
          <w:p>
            <w:pPr>
              <w:spacing w:after="0"/>
              <w:rPr>
                <w:sz w:val="20"/>
                <w:szCs w:val="20"/>
                <w:color w:val="auto"/>
              </w:rPr>
            </w:pPr>
            <w:r>
              <w:rPr>
                <w:rFonts w:ascii="Arial" w:cs="Arial" w:eastAsia="Arial" w:hAnsi="Arial"/>
                <w:sz w:val="18"/>
                <w:szCs w:val="18"/>
                <w:b w:val="1"/>
                <w:bCs w:val="1"/>
                <w:color w:val="auto"/>
              </w:rPr>
              <w:t>2011</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Quarter ended December 30, 2011</w:t>
            </w:r>
          </w:p>
        </w:tc>
        <w:tc>
          <w:tcPr>
            <w:tcW w:w="2140" w:type="dxa"/>
            <w:vAlign w:val="bottom"/>
            <w:gridSpan w:val="2"/>
            <w:shd w:val="clear" w:color="auto" w:fill="CCEEFF"/>
          </w:tcPr>
          <w:p>
            <w:pPr>
              <w:jc w:val="center"/>
              <w:ind w:left="1552"/>
              <w:spacing w:after="0"/>
              <w:rPr>
                <w:sz w:val="20"/>
                <w:szCs w:val="20"/>
                <w:color w:val="auto"/>
              </w:rPr>
            </w:pPr>
            <w:r>
              <w:rPr>
                <w:rFonts w:ascii="Arial" w:cs="Arial" w:eastAsia="Arial" w:hAnsi="Arial"/>
                <w:sz w:val="18"/>
                <w:szCs w:val="18"/>
                <w:color w:val="auto"/>
                <w:w w:val="90"/>
              </w:rPr>
              <w:t>$22.50</w:t>
            </w:r>
          </w:p>
        </w:tc>
        <w:tc>
          <w:tcPr>
            <w:tcW w:w="940" w:type="dxa"/>
            <w:vAlign w:val="bottom"/>
            <w:gridSpan w:val="2"/>
            <w:shd w:val="clear" w:color="auto" w:fill="CCEEFF"/>
          </w:tcPr>
          <w:p>
            <w:pPr>
              <w:jc w:val="center"/>
              <w:ind w:left="352"/>
              <w:spacing w:after="0"/>
              <w:rPr>
                <w:sz w:val="20"/>
                <w:szCs w:val="20"/>
                <w:color w:val="auto"/>
              </w:rPr>
            </w:pPr>
            <w:r>
              <w:rPr>
                <w:rFonts w:ascii="Arial" w:cs="Arial" w:eastAsia="Arial" w:hAnsi="Arial"/>
                <w:sz w:val="18"/>
                <w:szCs w:val="18"/>
                <w:color w:val="auto"/>
                <w:w w:val="90"/>
              </w:rPr>
              <w:t>$15.75</w:t>
            </w:r>
          </w:p>
        </w:tc>
        <w:tc>
          <w:tcPr>
            <w:tcW w:w="100" w:type="dxa"/>
            <w:vAlign w:val="bottom"/>
            <w:shd w:val="clear" w:color="auto" w:fill="CCEEFF"/>
          </w:tcPr>
          <w:p>
            <w:pPr>
              <w:spacing w:after="0"/>
              <w:rPr>
                <w:sz w:val="18"/>
                <w:szCs w:val="18"/>
                <w:color w:val="auto"/>
              </w:rPr>
            </w:pPr>
          </w:p>
        </w:tc>
      </w:tr>
      <w:tr>
        <w:trPr>
          <w:trHeight w:val="238"/>
        </w:trPr>
        <w:tc>
          <w:tcPr>
            <w:tcW w:w="5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(November 8, 2011 through December 30, 2011)</w:t>
            </w:r>
          </w:p>
        </w:tc>
        <w:tc>
          <w:tcPr>
            <w:tcW w:w="1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February 15, 2013, there were 30,176 holders of record of our common stock. Because many of the shares of our common stock are held by brokers and other institutions on behalf of shareholders, we are unable to determine the total number of shareholders represented by these record holders; however, we believe that there were approximately 44,000 beneficial owners of our common stock as of February 15, 2013.</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currently intend to retain any future earnings to finance our operations and growth, rather than to pay dividends. Any future determination to pay cash dividends will be based on our financial condition, results of operations and capital requirements, as well as applicable law, regulatory constraints, industry practice and other business considerations that our Board considers relevant. Our Revolving Corporate Credit Facility contains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During the quarter and year ended December 28, 2012, we did not purchase any of our equity securities that are registered under Section 12 of the Exchange Act.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143510</wp:posOffset>
            </wp:positionV>
            <wp:extent cx="5145405" cy="2847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5405" cy="284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above graph compares the relative performance of our common stock, the S&amp;P SmallCap 600 Index and the S&amp;P Composite 1500 Hotels, Resorts &amp; Cruise Lines Index. The graph assumes that $100 was invested in our common stock and each index on November 8, 2011, the date a “when-issued” trading market for our common stock began. The stock price performance reflected above is not necessarily indicative of future stock price performance. The foregoing performance graph is being furnished as part of this Annual Report solely in accordance with the requirement under Rule 14a-3(b)(9) to furnish our stockholders with such information, and therefore, shall not be deemed to be filed or incorporated by reference into any filings by the Company under the Securities Act of 1933, as amended, or the Securities Exchange Act of 1934, as amended.</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tables present a summary of selected historical consolidated financial data for the periods indicated below. The selected historical consolidated statements of operations data for fiscal years 2012, 2011 and 2010 and the selected consolidated balance sheet data for fiscal years 2012 and 2011 are derived from our consolidated financial statements included elsewhere in this Annual Report. The selected historical consolidated statement of operations data for fiscal year 2009 and 2008 and the selected consolidated balance sheet data for fiscal years 2010 and 2009 are derived from our audited consolidated financial statements not included in this Annual Report. The selected consolidated balance sheet data for fiscal year 2008 is derived from our unaudited consolidated financial statements that are not included in this Annual Report. We have prepared our unaudited financial statements on the same basis as our audited financial statements and have included all adjustments, consisting of normal and recurring adjustments, that we consider necessary for a fair presentation of our financial position for the unaudited period.</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Prior to November 21, 2011, the effective date of the Spin-Off, our company was a subsidiary of Marriott International. For periods prior to the Spin-Off, our historical financial statements include allocations of certain expenses from Marriott International, including expenses for costs related to functions such as treasury, tax, accounting, legal, internal audit, human resources, public and investor relations, general management, real estate, shared information technology systems, corporate governance activities and centrally managed employee benefit arrangements. These costs may not be representative of the future costs we will incur as an independent, public company, and do not include certain additional costs we may incur as a public company that we did not incur as a wholly owned subsidiary of Marriott International.</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financial statements included in this Annual Report may not necessarily reflect our financial position, results of operations and cash flows as if we had operated as a stand-alone public company during periods presented prior to the Spin-Off. Accordingly, our historical results should not be relied upon as an indicator of our future performance. The following table includes EBITDA and Adjusted EBITDA, which are financial measures we use in our business that are not calculated or presented in accordance with United States Generally Accepted Accounting Principles (“GAAP”), but we believe these measures are useful to help investors understand our results of operations. We explain these measures and reconcile them to their most directly comparable financial measures calculated and presented in accordance with GAAP in Footnote No. 3 to the following table.</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selected historical financial and other data should be read in conjunction with “Item 7—Management’s Discussion and Analysis of Financial Condition and Results of Operations,” and our Financial Statements and related notes included elsewhere in this Annual Report. All fiscal years included 52 weeks, except for 2008, which included 53 weeks.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2"/>
              </w:rPr>
              <w:t>Fiscal Years</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2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revenues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1,648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1,613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1,596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1,916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total expenses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Net income (loss)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4"/>
              </w:rPr>
              <w:t>Shares used in computing basic earnings (loss) per share (in millions)</w:t>
            </w:r>
            <w:r>
              <w:rPr>
                <w:rFonts w:ascii="Arial" w:cs="Arial" w:eastAsia="Arial" w:hAnsi="Arial"/>
                <w:sz w:val="11"/>
                <w:szCs w:val="11"/>
                <w:color w:val="auto"/>
                <w:w w:val="94"/>
              </w:rPr>
              <w:t>(2)</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(15.48)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2"/>
              </w:rPr>
              <w:t>Shares used in computing diluted earnings (loss) per share (in millions)</w:t>
            </w:r>
            <w:r>
              <w:rPr>
                <w:rFonts w:ascii="Arial" w:cs="Arial" w:eastAsia="Arial" w:hAnsi="Arial"/>
                <w:sz w:val="11"/>
                <w:szCs w:val="11"/>
                <w:color w:val="auto"/>
                <w:w w:val="92"/>
              </w:rPr>
              <w:t>(2)</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assets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2,604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2,845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3,641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3,035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3,810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w w:val="93"/>
              </w:rPr>
              <w:t>Total mandatorily redeemable preferred stock of consolidated subsidiary</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1,453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1,711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Total equity</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2,846</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1"/>
                <w:szCs w:val="11"/>
                <w:color w:val="auto"/>
              </w:rPr>
              <w:t>(3)</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(720)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(3)</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Contract sales</w:t>
            </w:r>
            <w:r>
              <w:rPr>
                <w:rFonts w:ascii="Arial" w:cs="Arial" w:eastAsia="Arial" w:hAnsi="Arial"/>
                <w:sz w:val="11"/>
                <w:szCs w:val="11"/>
                <w:color w:val="auto"/>
              </w:rPr>
              <w:t>(4)</w:t>
            </w:r>
            <w:r>
              <w:rPr>
                <w:rFonts w:ascii="Arial" w:cs="Arial" w:eastAsia="Arial" w:hAnsi="Arial"/>
                <w:sz w:val="18"/>
                <w:szCs w:val="18"/>
                <w:color w:val="auto"/>
              </w:rPr>
              <w:t>:</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Vacation ownership</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1,133</w:t>
            </w:r>
          </w:p>
        </w:tc>
        <w:tc>
          <w:tcPr>
            <w:tcW w:w="0" w:type="dxa"/>
            <w:vAlign w:val="bottom"/>
          </w:tcPr>
          <w:p>
            <w:pPr>
              <w:spacing w:after="0"/>
              <w:rPr>
                <w:sz w:val="1"/>
                <w:szCs w:val="1"/>
                <w:color w:val="auto"/>
              </w:rPr>
            </w:pPr>
          </w:p>
        </w:tc>
      </w:tr>
      <w:tr>
        <w:trPr>
          <w:trHeight w:val="216"/>
        </w:trPr>
        <w:tc>
          <w:tcPr>
            <w:tcW w:w="5380" w:type="dxa"/>
            <w:vAlign w:val="bottom"/>
          </w:tcPr>
          <w:p>
            <w:pPr>
              <w:ind w:left="440"/>
              <w:spacing w:after="0"/>
              <w:rPr>
                <w:sz w:val="20"/>
                <w:szCs w:val="20"/>
                <w:color w:val="auto"/>
              </w:rPr>
            </w:pPr>
            <w:r>
              <w:rPr>
                <w:rFonts w:ascii="Arial" w:cs="Arial" w:eastAsia="Arial" w:hAnsi="Arial"/>
                <w:sz w:val="18"/>
                <w:szCs w:val="18"/>
                <w:color w:val="auto"/>
              </w:rPr>
              <w:t>Residential products</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before cancellation reversal (allowance)</w:t>
            </w:r>
          </w:p>
        </w:tc>
        <w:tc>
          <w:tcPr>
            <w:tcW w:w="2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1,191</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Cancellation reversal (allowance)</w:t>
            </w:r>
          </w:p>
        </w:tc>
        <w:tc>
          <w:tcPr>
            <w:tcW w:w="2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contract sales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1,076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160" w:type="dxa"/>
            <w:vAlign w:val="bottom"/>
            <w:vMerge w:val="restart"/>
          </w:tcPr>
          <w:p>
            <w:pPr>
              <w:jc w:val="right"/>
              <w:ind w:right="1652"/>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18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adopted the new Consolidation Standard in our 2010 first quarter, which significantly increased our reported vacation ownership notes receivable and debt. See Footnote No. 1, “Summary of Significant Accounting Policies,” of the Notes to our Financial Statements.</w:t>
      </w:r>
    </w:p>
    <w:p>
      <w:pPr>
        <w:ind w:left="460" w:right="4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periods prior to 2011, the same number of shares is being used for diluted income (loss) per common share as for basic income (loss) per common share as all 100 shares of our common stock outstanding were held by Marriott International prior to the Spin-Off and no dilutive securities were outstanding for any prior period. See Footnote No. 6, “Earnings per Share,” of the Notes to our Financial Statements for further information on this calculation.</w:t>
      </w:r>
    </w:p>
    <w:p>
      <w:pPr>
        <w:spacing w:after="0" w:line="1"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43" w:lineRule="exact"/>
        <w:rPr>
          <w:rFonts w:ascii="Arial" w:cs="Arial" w:eastAsia="Arial" w:hAnsi="Arial"/>
          <w:sz w:val="16"/>
          <w:szCs w:val="16"/>
          <w:color w:val="auto"/>
        </w:rPr>
      </w:pPr>
    </w:p>
    <w:p>
      <w:pPr>
        <w:ind w:left="460" w:right="80"/>
        <w:spacing w:after="0" w:line="289" w:lineRule="auto"/>
        <w:rPr>
          <w:rFonts w:ascii="Arial" w:cs="Arial" w:eastAsia="Arial" w:hAnsi="Arial"/>
          <w:sz w:val="16"/>
          <w:szCs w:val="16"/>
          <w:color w:val="auto"/>
        </w:rPr>
      </w:pPr>
      <w:r>
        <w:rPr>
          <w:rFonts w:ascii="Arial" w:cs="Arial" w:eastAsia="Arial" w:hAnsi="Arial"/>
          <w:sz w:val="16"/>
          <w:szCs w:val="16"/>
          <w:color w:val="auto"/>
        </w:rPr>
        <w:t>We also evaluate Adjusted EBITDA, another non-GAAP financial measure, as an indicator of performance. Our Adjusted EBITDA excludes the impact of non-cash impairment charges or reversals and restructuring charges and includes the impact of interest expense associated with the debt from the Warehouse Credit Facility and from the securitization of our vacation ownership notes receivable in the term ABS market, which together we refer to as consumer financing interest expense. We deduct consumer financing interest expense in determining Adjusted EBITDA since the debt is secured by vacation ownership notes receivable that have been sold to bankruptcy remote special purpose entities and is generally non-recourse to us. We evaluate Adjusted EBITDA, which adjusts for these items, to allow for period-over-period comparisons of our ongoing core operations before material charges. Adjusted EBITDA is also useful in measuring our ability to service our non-securitized debt. Together, EBITDA and Adjusted EBITDA facilitate our comparison of results from our ongoing operations with results from other vacation ownership companies.</w:t>
      </w:r>
    </w:p>
    <w:p>
      <w:pPr>
        <w:spacing w:after="0" w:line="37" w:lineRule="exact"/>
        <w:rPr>
          <w:rFonts w:ascii="Arial" w:cs="Arial" w:eastAsia="Arial" w:hAnsi="Arial"/>
          <w:sz w:val="16"/>
          <w:szCs w:val="16"/>
          <w:color w:val="auto"/>
        </w:rPr>
      </w:pPr>
    </w:p>
    <w:p>
      <w:pPr>
        <w:ind w:left="460" w:right="40"/>
        <w:spacing w:after="0" w:line="256" w:lineRule="auto"/>
        <w:rPr>
          <w:rFonts w:ascii="Arial" w:cs="Arial" w:eastAsia="Arial" w:hAnsi="Arial"/>
          <w:sz w:val="16"/>
          <w:szCs w:val="16"/>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income (loss).</w:t>
      </w:r>
    </w:p>
    <w:p>
      <w:pPr>
        <w:spacing w:after="0" w:line="143"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following is a reconciliation of Net income (loss) to EBITDA and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0"/>
              </w:rPr>
              <w:t>Fiscal Years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600" w:type="dxa"/>
            <w:vAlign w:val="bottom"/>
            <w:gridSpan w:val="3"/>
          </w:tcPr>
          <w:p>
            <w:pPr>
              <w:ind w:left="200"/>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3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500" w:type="dxa"/>
            <w:vAlign w:val="bottom"/>
            <w:gridSpan w:val="2"/>
          </w:tcPr>
          <w:p>
            <w:pPr>
              <w:jc w:val="center"/>
              <w:ind w:left="35"/>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$(178)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(532)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 (16)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(231)</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207</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(720)</w:t>
            </w: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1"/>
        </w:trPr>
        <w:tc>
          <w:tcPr>
            <w:tcW w:w="810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spacing w:after="0"/>
              <w:rPr>
                <w:sz w:val="19"/>
                <w:szCs w:val="19"/>
                <w:color w:val="auto"/>
              </w:rPr>
            </w:pPr>
          </w:p>
        </w:tc>
        <w:tc>
          <w:tcPr>
            <w:tcW w:w="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440"/>
              <w:spacing w:after="0"/>
              <w:rPr>
                <w:sz w:val="20"/>
                <w:szCs w:val="20"/>
                <w:color w:val="auto"/>
              </w:rPr>
            </w:pPr>
            <w:r>
              <w:rPr>
                <w:rFonts w:ascii="Arial" w:cs="Arial" w:eastAsia="Arial" w:hAnsi="Arial"/>
                <w:sz w:val="18"/>
                <w:szCs w:val="18"/>
                <w:color w:val="auto"/>
              </w:rPr>
              <w:t>Impairments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400"/>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623</w:t>
            </w:r>
          </w:p>
        </w:tc>
        <w:tc>
          <w:tcPr>
            <w:tcW w:w="18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(reversals) charges on equity 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Consumer financing 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w w:val="93"/>
              </w:rPr>
              <w:t>(41)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(56)</w:t>
            </w:r>
          </w:p>
        </w:tc>
        <w:tc>
          <w:tcPr>
            <w:tcW w:w="10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3"/>
              </w:rPr>
              <w:t>(43)</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805</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880"/>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0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$ 139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9"/>
                <w:szCs w:val="19"/>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118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94"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Contract sales represent the total amount of vacation ownership product sales from purchase agreements signed during the period where we have received a down payment of at least 10 percent of the contract price, reduced by actual rescissions during the period. Contract sales differ from revenues from the sale of vacation ownership products that we report in our Statements of Operations due to the requirements for revenue recognition described in Footnote No. 1, “Summary of Significant Accounting Policies,” of the Notes to our Financial Statements. We consider contract sales to be an important operating measure because it reflects the pace of sales in our business.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however, may not necessarily reflect what our financial condition, results of operations or cash flows would have been had we been operated as a separate, independent entity during all of the periods presented, or what our financial condition, results of operations and cash flows may be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global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generally provides on-site management for Ritz-Carlton branded properties.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business is grouped into four reportable segments: North America, Luxury, Europe and Asia Pacific. We operate 64 properties in the United States and nine other countries and territories. We generate most of our revenues from four primary sources: selling vacation ownership products; managing our resorts; financing consumer purchases of vacation ownership products; and renting vacation ownership inventory. See the section of this Annual Report entitled “Business—Segments” for further details regarding our individual properties by segment.</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in Footnote No. 1, “Summary of Significant Accounting Policies,” in the Notes to our Financial Statements included in this Annual Report, through the date of the Spin-Off, the Financial Statements discussed below were prepared on a stand-alone basis and were derived from the consolidated financial statements and accounting records of Marriott International. These Financial Statements have been prepared as if the Spin-Off had taken place as of the earliest period presented and include an allocation of certain Marriott International expenses as discussed in the section of this Annual Report entitled “Selected Financial Data.” The Financial Statements reflect our historical financial position, results of operations and cash flows as we have historically operated, in conformity with GAAP. All significant intracompany transactions and accounts within these Financial Statements have been eliminated. Beginning November 22, 2011, for periods following completion of the Spin-Off, our financial results also include the impact of the royalty fee payable under our License Agreements and the dividend payable on the mandatorily redeemable preferred stock of our consolidated subsidiary, MVW US Holdings (included in interest expense).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Conditions for our vacation ownership business were strong throughout 2012 compared to 2011. In 2012:</w:t>
      </w:r>
    </w:p>
    <w:p>
      <w:pPr>
        <w:spacing w:after="0" w:line="90" w:lineRule="exact"/>
        <w:rPr>
          <w:sz w:val="20"/>
          <w:szCs w:val="20"/>
          <w:color w:val="auto"/>
        </w:rPr>
      </w:pPr>
    </w:p>
    <w:p>
      <w:pPr>
        <w:ind w:left="900" w:right="2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generated $1.6 billion of total revenues, including $627 million from the sale of vacation ownership products, and $163 million of cash flows from operating activities.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North America contract sales increased 12 percent to $578 million; volume per guest (“VPG”) increased 18 percent year-over-year to $2,963.</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the sale of vacation ownership products when all of the following conditions exist:</w:t>
      </w:r>
    </w:p>
    <w:p>
      <w:pPr>
        <w:spacing w:after="0" w:line="90"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receivable is deemed collectible;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criteria for percentage of completion accounting are met;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generally within one to two years from the date of issuance. Sales incentives are only awarded if the sale is closed.</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a result of the down 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from vacation ownership purchases as a reduction of revenues from the sale of vacation ownership products at the time we recognize revenues from a sale.</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report, on a supplemental basis, contract sales for each of our four segments. Contract sales represent the total amount of vacation ownership product sales from purchase agreements signed during the period where we have received a down payment of at least ten percent of the contract price, reduced by actual rescissions during the period. Contract sales differ from revenues from the sale of vacation ownership products that we report in our Statements of Operations due to the requirements for revenue recognition described above. We consider contract sales to be an important operating measure because it reflects the pace of sales in our business.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Total contract sales include sales from company-owned projects and, prior to 2012, also included sales generated under a marketing and sales arrangement with a joint venture. Prior to 2011, we established cancellation allowances for previously reported contract sales in anticipation that a portion of these contract sales would not be realized due to contract cancellations prior to closing. These cancellation allowances related mainly to our Luxury segment where we were selling vacation ownership products well in advance of completion of construction. Given the significant amount of time that often existed between the date of a purchase agreement and the closing of the related sale, as well as significant weakness in the overall economic environment and, in particular, the luxury real estate market at that time, many customers decided not to complete their purchases.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Revenue associated with the company-owned contract sales is reflected as sales of vacation ownership products while revenue associated with joint venture contract sales is reflected on the Equity in earnings (losses) line on the Statements of Operations, included herein.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Cost of vacation ownership products includes costs to develop and construct the project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in our Statements of Operations to true-up revenues and costs in that period to those that would have been recorded historically if the revised estimates had been used. These true-ups, which we refer to as product cost true-ups, will have a positive or negative impact on our Statements of Operations.</w:t>
      </w:r>
    </w:p>
    <w:p>
      <w:pPr>
        <w:spacing w:after="0" w:line="12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resort management and other services revenues includes revenues we earn for managing our resorts, for providing ancillary offerings including food and beverage, retail, and golf and spa offerings, from annual club dues and certain transaction-based fees charged to owners and other third parties for services, and for providing other services to our guests.</w:t>
      </w:r>
    </w:p>
    <w:p>
      <w:pPr>
        <w:spacing w:after="0" w:line="14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provide day-to-day-management services, including housekeeping services, operation of reservation systems, maintenance, and certain accounting and administrative services for property owners’ associations. We receive compensation for such management services; this compensation is generally based on either a percentage of total costs to operate the resorts or a fixed fee arrangement. We earn these fees regardless of usage or occupancy.</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Fiscal Years</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r>
      <w:tr>
        <w:trPr>
          <w:trHeight w:val="210"/>
        </w:trPr>
        <w:tc>
          <w:tcPr>
            <w:tcW w:w="7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FICO score</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729</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Operations.</w:t>
      </w:r>
    </w:p>
    <w:p>
      <w:pPr>
        <w:spacing w:after="0" w:line="10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Financing revenues include interest income earned on vacation ownership notes receivable as well as fees earned from servicing the existing vacation ownership note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Due to weakened economic conditions and our elimination of financing incentive programs, the number of customers choosing to finance their vacation ownership purchase with us (which we refer to as “financing propensity”) declined significantly through 2009 and has leveled out since then. As a result, we expect that interest income will continue to decline over the next few years until new originations outpace the decline in principal amount of the existing vacation ownership note portfolio.</w:t>
      </w:r>
    </w:p>
    <w:p>
      <w:pPr>
        <w:spacing w:after="0" w:line="11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typically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in our Statements of Operations. Historical default rates, which represent annual defaults as a percentage of each year’s beginning gross vacation ownership notes receivable balance, were as follows:</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5"/>
              </w:rPr>
              <w:t>Fiscal Years</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2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6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Historical default rates</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4.8%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5.3%</w:t>
            </w:r>
          </w:p>
        </w:tc>
      </w:tr>
    </w:tbl>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9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Inventory we control because owners have elected alternative usage options.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under the MVCD program when those points are redeemed for rental stays at one of our resorts or upon expiration of the points.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90"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to provide alternative usage rights, including Marriott Rewards Points, for owners who elect to exchange their inventory;</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MVCD program.</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inventory in our Luxury and Asia Pacific segments is often limited on a site-by-site basis, rental operations may not generate adequate rental revenues to cover associated costs. Our vacation units are either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“full villas” or “lock-off” villas. Lock-off villas are units that can be separated into a master unit and a guest room. Full villas are “non-lock-off” villas because they cannot be separated. A “key” night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also record other revenues and expenses which are primarily comprised of fees received from our external exchange company and settlement fees and expenses from the sale of vacation ownership products.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Cost reimbursements revenues includes direct and indirect costs that property owners’ associations and joint ventures in which we participate reimburse to us. In accordance with the accounting guidance for “gross versus net” presentation, we record these revenues on a gross basis. We recognize cost reimbursements revenue when we incur the related reimbursable costs. These costs primarily consist of payroll and payroll related expenses for management of the property owners’ associations and other services we provide where we are the employer, and for development and marketing and sales services that joint ventures contract with us to perform. Cost reimbursements are based upon actual expenses with no added margin.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refer to interest expense associated with the debt from our non-recourse Warehouse Credit Facility and from the securitization of our vacation ownership notes receivable in the ABS market as consumer financing interest expense. We distinguish consumer financing interest expense from all other interest expense (referred to as non-consumer financing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90" w:lineRule="exact"/>
        <w:rPr>
          <w:rFonts w:ascii="Arial" w:cs="Arial" w:eastAsia="Arial" w:hAnsi="Arial"/>
          <w:sz w:val="18"/>
          <w:szCs w:val="18"/>
          <w:color w:val="auto"/>
        </w:rPr>
      </w:pPr>
    </w:p>
    <w:p>
      <w:pPr>
        <w:jc w:val="both"/>
        <w:ind w:left="900" w:right="360" w:hanging="446"/>
        <w:spacing w:after="0" w:line="306"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VPG, which we calculate by dividing contract sales, excluding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Rounding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changes presented in our public filings are calculated using whole dollars.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presents an analysis of results of our operations for 2012, 2011 and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0"/>
              </w:rPr>
              <w:t>Fiscal Years</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gridSpan w:val="2"/>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Sale of vacation ownership products</w:t>
            </w:r>
          </w:p>
        </w:tc>
        <w:tc>
          <w:tcPr>
            <w:tcW w:w="480" w:type="dxa"/>
            <w:vAlign w:val="bottom"/>
            <w:gridSpan w:val="3"/>
          </w:tcPr>
          <w:p>
            <w:pPr>
              <w:ind w:left="3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634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188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362</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w w:val="84"/>
              </w:rPr>
              <w:t>1,648</w:t>
            </w:r>
          </w:p>
        </w:tc>
        <w:tc>
          <w:tcPr>
            <w:tcW w:w="6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1,613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w w:val="84"/>
              </w:rPr>
              <w:t>1,584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sales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198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Financing</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194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Litigation settlement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Organizational and separation related</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Royalty fee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84"/>
              </w:rPr>
              <w:t>1,623</w:t>
            </w: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4"/>
              </w:rPr>
              <w:t>1,496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vMerge w:val="restart"/>
          </w:tcPr>
          <w:p>
            <w:pPr>
              <w:spacing w:after="0"/>
              <w:rPr>
                <w:sz w:val="20"/>
                <w:szCs w:val="20"/>
                <w:color w:val="auto"/>
              </w:rPr>
            </w:pPr>
            <w:r>
              <w:rPr>
                <w:rFonts w:ascii="Arial" w:cs="Arial" w:eastAsia="Arial" w:hAnsi="Arial"/>
                <w:sz w:val="18"/>
                <w:szCs w:val="18"/>
                <w:color w:val="auto"/>
              </w:rPr>
              <w:t>Gains and other income</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Impairment reversals on equity investment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92"/>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ind w:right="12"/>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32"/>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 (178)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Contract Sales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3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gridSpan w:val="3"/>
          </w:tcPr>
          <w:p>
            <w:pPr>
              <w:ind w:left="460"/>
              <w:spacing w:after="0"/>
              <w:rPr>
                <w:sz w:val="20"/>
                <w:szCs w:val="20"/>
                <w:color w:val="auto"/>
              </w:rPr>
            </w:pPr>
            <w:r>
              <w:rPr>
                <w:rFonts w:ascii="Arial" w:cs="Arial" w:eastAsia="Arial" w:hAnsi="Arial"/>
                <w:sz w:val="18"/>
                <w:szCs w:val="18"/>
                <w:i w:val="1"/>
                <w:iCs w:val="1"/>
                <w:color w:val="auto"/>
              </w:rPr>
              <w:t>2012 Compared to 2011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320" w:type="dxa"/>
            <w:vAlign w:val="bottom"/>
            <w:gridSpan w:val="3"/>
            <w:vMerge w:val="restart"/>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3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3"/>
              </w:rPr>
              <w:t>Fiscal Years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81"/>
              </w:rPr>
              <w:t>Change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7320" w:type="dxa"/>
            <w:vAlign w:val="bottom"/>
            <w:gridSpan w:val="3"/>
            <w:vMerge w:val="continue"/>
          </w:tcPr>
          <w:p>
            <w:pPr>
              <w:spacing w:after="0"/>
              <w:rPr>
                <w:sz w:val="12"/>
                <w:szCs w:val="12"/>
                <w:color w:val="auto"/>
              </w:rPr>
            </w:pPr>
          </w:p>
        </w:tc>
        <w:tc>
          <w:tcPr>
            <w:tcW w:w="3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Vacation ownership</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$687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$653</w:t>
            </w:r>
          </w:p>
        </w:tc>
        <w:tc>
          <w:tcPr>
            <w:tcW w:w="66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products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vMerge w:val="restart"/>
          </w:tcPr>
          <w:p>
            <w:pPr>
              <w:ind w:left="840"/>
              <w:spacing w:after="0"/>
              <w:rPr>
                <w:sz w:val="20"/>
                <w:szCs w:val="20"/>
                <w:color w:val="auto"/>
              </w:rPr>
            </w:pPr>
            <w:r>
              <w:rPr>
                <w:rFonts w:ascii="Arial" w:cs="Arial" w:eastAsia="Arial" w:hAnsi="Arial"/>
                <w:sz w:val="18"/>
                <w:szCs w:val="18"/>
                <w:color w:val="auto"/>
              </w:rPr>
              <w:t>Subtotal</w:t>
            </w: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w w:val="79"/>
              </w:rPr>
              <w:t>688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Cancellation reversal</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vMerge w:val="restart"/>
          </w:tcPr>
          <w:p>
            <w:pPr>
              <w:ind w:left="840"/>
              <w:spacing w:after="0"/>
              <w:rPr>
                <w:sz w:val="20"/>
                <w:szCs w:val="20"/>
                <w:color w:val="auto"/>
              </w:rPr>
            </w:pPr>
            <w:r>
              <w:rPr>
                <w:rFonts w:ascii="Arial" w:cs="Arial" w:eastAsia="Arial" w:hAnsi="Arial"/>
                <w:sz w:val="18"/>
                <w:szCs w:val="18"/>
                <w:color w:val="auto"/>
              </w:rPr>
              <w:t>Total company-owned contract sales</w:t>
            </w: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vMerge w:val="restart"/>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w w:val="79"/>
              </w:rPr>
              <w:t>688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Joint Venture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Vacation ownership</w:t>
            </w:r>
          </w:p>
        </w:tc>
        <w:tc>
          <w:tcPr>
            <w:tcW w:w="48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Residential products</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vMerge w:val="restart"/>
          </w:tcPr>
          <w:p>
            <w:pPr>
              <w:ind w:left="840"/>
              <w:spacing w:after="0"/>
              <w:rPr>
                <w:sz w:val="20"/>
                <w:szCs w:val="20"/>
                <w:color w:val="auto"/>
              </w:rPr>
            </w:pPr>
            <w:r>
              <w:rPr>
                <w:rFonts w:ascii="Arial" w:cs="Arial" w:eastAsia="Arial" w:hAnsi="Arial"/>
                <w:sz w:val="18"/>
                <w:szCs w:val="18"/>
                <w:color w:val="auto"/>
              </w:rPr>
              <w:t>Subtotal</w:t>
            </w:r>
          </w:p>
        </w:tc>
        <w:tc>
          <w:tcPr>
            <w:tcW w:w="3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Cancellation reversal</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vMerge w:val="restart"/>
          </w:tcPr>
          <w:p>
            <w:pPr>
              <w:ind w:left="840"/>
              <w:spacing w:after="0"/>
              <w:rPr>
                <w:sz w:val="20"/>
                <w:szCs w:val="20"/>
                <w:color w:val="auto"/>
              </w:rPr>
            </w:pPr>
            <w:r>
              <w:rPr>
                <w:rFonts w:ascii="Arial" w:cs="Arial" w:eastAsia="Arial" w:hAnsi="Arial"/>
                <w:sz w:val="18"/>
                <w:szCs w:val="18"/>
                <w:color w:val="auto"/>
              </w:rPr>
              <w:t>Total joint venture contract sales</w:t>
            </w:r>
          </w:p>
        </w:tc>
        <w:tc>
          <w:tcPr>
            <w:tcW w:w="3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0" w:type="dxa"/>
            <w:vAlign w:val="bottom"/>
            <w:vMerge w:val="continue"/>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680</w:t>
            </w:r>
          </w:p>
        </w:tc>
        <w:tc>
          <w:tcPr>
            <w:tcW w:w="660" w:type="dxa"/>
            <w:vAlign w:val="bottom"/>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ectPr>
          <w:pgSz w:w="11900" w:h="16838" w:orient="portrait"/>
          <w:cols w:equalWidth="0" w:num="1">
            <w:col w:w="10960"/>
          </w:cols>
          <w:pgMar w:left="240" w:top="459" w:right="699" w:bottom="1440" w:gutter="0" w:footer="0" w:header="0"/>
        </w:sectPr>
      </w:pP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0960"/>
          </w:cols>
          <w:pgMar w:left="240" w:top="459" w:right="6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$30 million increase in total company-owned gross contract sales (before cancellation reversals) was driven by $64 million (12 percent) of higher contract sales in our key North America segment, partially offset by an aggregate of $21 million of lower contract sales in our Europe and Luxury segments as we continued to sell through existing inventory, and $13 million of lower contract sales in our Asia Pacific segment. The lower sales in our Asia Pacific segment were driven mainly by the closure of off-site sales locations in Hong Kong and Japan late in 2012 in accordance with our strategy of using more efficient on-site sales locations rather than off-site sales locations.</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increase in contract sales in our North America segment reflected an 18 percent increase in VPG to $2,963 in 2012 from $2,504 in the prior year. This increase in VPG in 2012 was due to a 2 percentage point increase in closing efficiency, resulting from improved marketing and sales execution, and a 2 percent price increase.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00" w:type="dxa"/>
            <w:vAlign w:val="bottom"/>
          </w:tcPr>
          <w:p>
            <w:pPr>
              <w:spacing w:after="0"/>
              <w:rPr>
                <w:sz w:val="14"/>
                <w:szCs w:val="14"/>
                <w:color w:val="auto"/>
              </w:rPr>
            </w:pPr>
          </w:p>
        </w:tc>
        <w:tc>
          <w:tcPr>
            <w:tcW w:w="18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360" w:type="dxa"/>
            <w:vAlign w:val="bottom"/>
            <w:vMerge w:val="continue"/>
          </w:tcPr>
          <w:p>
            <w:pPr>
              <w:spacing w:after="0"/>
              <w:rPr>
                <w:sz w:val="12"/>
                <w:szCs w:val="12"/>
                <w:color w:val="auto"/>
              </w:rPr>
            </w:pPr>
          </w:p>
        </w:tc>
        <w:tc>
          <w:tcPr>
            <w:tcW w:w="15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2140" w:type="dxa"/>
            <w:vAlign w:val="bottom"/>
            <w:gridSpan w:val="3"/>
          </w:tcPr>
          <w:p>
            <w:pPr>
              <w:jc w:val="right"/>
              <w:ind w:right="260"/>
              <w:spacing w:after="0"/>
              <w:rPr>
                <w:sz w:val="20"/>
                <w:szCs w:val="20"/>
                <w:color w:val="auto"/>
              </w:rPr>
            </w:pPr>
            <w:r>
              <w:rPr>
                <w:rFonts w:ascii="Arial" w:cs="Arial" w:eastAsia="Arial" w:hAnsi="Arial"/>
                <w:sz w:val="18"/>
                <w:szCs w:val="18"/>
                <w:color w:val="auto"/>
              </w:rPr>
              <w:t>$653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1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689</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 (allowance)</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300"/>
              <w:spacing w:after="0"/>
              <w:rPr>
                <w:sz w:val="20"/>
                <w:szCs w:val="20"/>
                <w:color w:val="auto"/>
              </w:rPr>
            </w:pPr>
            <w:r>
              <w:rPr>
                <w:rFonts w:ascii="Arial" w:cs="Arial" w:eastAsia="Arial" w:hAnsi="Arial"/>
                <w:sz w:val="18"/>
                <w:szCs w:val="18"/>
                <w:color w:val="auto"/>
              </w:rPr>
              <w:t>Total company-owned contract sales</w:t>
            </w:r>
          </w:p>
        </w:tc>
        <w:tc>
          <w:tcPr>
            <w:tcW w:w="1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221"/>
        </w:trPr>
        <w:tc>
          <w:tcPr>
            <w:tcW w:w="53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659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688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2140" w:type="dxa"/>
            <w:vAlign w:val="bottom"/>
            <w:gridSpan w:val="3"/>
          </w:tcPr>
          <w:p>
            <w:pPr>
              <w:jc w:val="right"/>
              <w:ind w:right="26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15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60" w:type="dxa"/>
            <w:vAlign w:val="bottom"/>
          </w:tcPr>
          <w:p>
            <w:pPr>
              <w:ind w:left="1300"/>
              <w:spacing w:after="0"/>
              <w:rPr>
                <w:sz w:val="20"/>
                <w:szCs w:val="20"/>
                <w:color w:val="auto"/>
              </w:rPr>
            </w:pPr>
            <w:r>
              <w:rPr>
                <w:rFonts w:ascii="Arial" w:cs="Arial" w:eastAsia="Arial" w:hAnsi="Arial"/>
                <w:sz w:val="18"/>
                <w:szCs w:val="18"/>
                <w:color w:val="auto"/>
              </w:rPr>
              <w:t>Subtotal</w:t>
            </w:r>
          </w:p>
        </w:tc>
        <w:tc>
          <w:tcPr>
            <w:tcW w:w="2140" w:type="dxa"/>
            <w:vAlign w:val="bottom"/>
            <w:gridSpan w:val="3"/>
          </w:tcPr>
          <w:p>
            <w:pPr>
              <w:jc w:val="right"/>
              <w:ind w:right="260"/>
              <w:spacing w:after="0"/>
              <w:rPr>
                <w:sz w:val="20"/>
                <w:szCs w:val="20"/>
                <w:color w:val="auto"/>
              </w:rPr>
            </w:pPr>
            <w:r>
              <w:rPr>
                <w:rFonts w:ascii="Arial" w:cs="Arial" w:eastAsia="Arial" w:hAnsi="Arial"/>
                <w:sz w:val="18"/>
                <w:szCs w:val="18"/>
                <w:color w:val="auto"/>
              </w:rPr>
              <w:t>18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 (allowance)</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1300"/>
              <w:spacing w:after="0"/>
              <w:rPr>
                <w:sz w:val="20"/>
                <w:szCs w:val="20"/>
                <w:color w:val="auto"/>
              </w:rPr>
            </w:pPr>
            <w:r>
              <w:rPr>
                <w:rFonts w:ascii="Arial" w:cs="Arial" w:eastAsia="Arial" w:hAnsi="Arial"/>
                <w:sz w:val="18"/>
                <w:szCs w:val="18"/>
                <w:color w:val="auto"/>
              </w:rPr>
              <w:t>Total joint venture contract sales</w:t>
            </w:r>
          </w:p>
        </w:tc>
        <w:tc>
          <w:tcPr>
            <w:tcW w:w="1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6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53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2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685</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$31 million decrease in total company-owned gross contract sales (before cancellation reversals / (allowances)) was driven by $16 million (3 percent) of lower contract sales in our key North America segment, $11 million of lower contract sales in our Luxury segment due to the continued weakness in the luxury real estate market, and $6 million of lower contract sales in our Europe segment due to limited inventory available for sale at one project that was almost sold out, as well as from fewer tours. These declines were partially offset by $2 million of higher contract sales in our Asia Pacific segment.</w:t>
      </w:r>
    </w:p>
    <w:p>
      <w:pPr>
        <w:spacing w:after="0" w:line="11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$16 million decline in contract sales in our North America segment, to $514 million in 2011 from $530 million in 2010, reflected a $19 million decline in the first half of 2011 compared to the first half of 2010 and a $3 million increase in the second half of 2011 compared to the second half of 2010.</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$19 million (7 percent) decline in contract sales in our North America segment in the first half of 2011 compared to the first half of 2010 corresponds with the launch of the MVCD program in June 2010 and our decision to focus on enrolling and selling our new product to existing owners at an average purchase price that was generally lower than the average purchase price for new owners. As a result, while the number of sales contracts executed in the first half of 2011 rose by 22 percent from the first half of 2010, the average price per contract for sales to existing owners in the first half of 2011 was approximately $7,000 (25 percent) lower than in the first half of 2010.</w:t>
      </w:r>
    </w:p>
    <w:p>
      <w:pPr>
        <w:spacing w:after="0" w:line="14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$3 million (1 percent) increase in contract sales in our North America segment in the second half of 2011 compared to the second half of 2010 reflected a nearly 8 percent increase in volume per guest to $2,463 in the second half of 2011 from $2,285 in the second half of 2010. This increase was driven by an increase in the minimum purchase price requirements for existing owners who make additional purchases, as well as incentives to encourage larger purchases. Although sales contracts executed with new owners were up nearly 4 percent during the period, total sales contracts executed were down 18 percent, driven by a 25 percent decrease in existing owner purchases, reflecting our focus in the second half of 2010 on enrolling existing owners in the MVCD program.</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Fiscal Years</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vMerge w:val="continue"/>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627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(205)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(242)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(330)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(342)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c>
          <w:tcPr>
            <w:tcW w:w="4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50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1"/>
              </w:rPr>
              <w:t>6.8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While company-owned contract sales (before cancellation reversals) increased $30 million in 2012, revenues from the sale of vacation ownership products decreased $7 million from the prior year as a result of $31 million of lower revenue reportability and $6 million of higher vacation ownership notes receivable reserve activity due mainly to a favorable true-up recorded in 2011 for lower than estimated default and delinquency activity in our Luxury segment. The $31 million of lower revenue reportability resulted from $6 million of lower revenue reportability in 2012 compared to $25 million of higher revenue reportability in the prior year. Revenue reportability was impacted unfavorably in 2012 mainly because certain financed sales did not meet the down payment requirement for revenue recognition purposes prior to the end of the period, while 2011 revenue reportability was favorably impacted because certain 2010 sales did not meet the requirements for revenue recognition purposes until 2011.</w:t>
      </w:r>
    </w:p>
    <w:p>
      <w:pPr>
        <w:spacing w:after="0" w:line="118"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increase in development margin reflects a $34 million increase from higher contract sales volume net of direct variable expenses (</w:t>
      </w:r>
      <w:r>
        <w:rPr>
          <w:rFonts w:ascii="Arial" w:cs="Arial" w:eastAsia="Arial" w:hAnsi="Arial"/>
          <w:sz w:val="16"/>
          <w:szCs w:val="16"/>
          <w:i w:val="1"/>
          <w:iCs w:val="1"/>
          <w:color w:val="auto"/>
        </w:rPr>
        <w:t>i.e.,</w:t>
      </w:r>
      <w:r>
        <w:rPr>
          <w:rFonts w:ascii="Arial" w:cs="Arial" w:eastAsia="Arial" w:hAnsi="Arial"/>
          <w:sz w:val="16"/>
          <w:szCs w:val="16"/>
          <w:color w:val="auto"/>
        </w:rPr>
        <w:t xml:space="preserve"> cost of vacation ownership products and marketing and sales) mainly from more efficient marketing and sales spending and favorable mix of real estate inventory being sold, $28 million of favorable product cost true-ups ($30 million of favorable product cost true-ups in 2012 compared to $2 million in the prior year) and $9 million of charges in the prior year (including $6 million of severance costs and $3 million of costs related to Americans with Disabilities Act (“ADA”) compliance and Hurricane Irene damage at our resort in the Bahamas). These increases were partially offset by a $17 million decrease due to lower revenue reportability, $6 million of charges related mainly to the closure of our Asia Pacific off-site sales locations in late 2012, $3 million from higher vacation ownership notes receivable reserve activity, a $2 million charge related to higher than expected redemption costs associated with Marriott Rewards Points issued prior to the Spin-Off, and a $1 million charge related to the settlement of a construction related dispute at one of our Luxury segment properties.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favorable product cost true-ups recorded in 2012 relate mainly to higher estimated sales revenues we expect to generate over the life of the projects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($24 million). The increase in estimated sales revenue is primarily due to adjustments to future volume and pricing assumptions based upon our sales experience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to date and, to a lesser extent, lower overall development costs on specific projects that are substantially completed ($6 million).</w:t>
      </w:r>
    </w:p>
    <w:p>
      <w:pPr>
        <w:spacing w:after="0" w:line="165"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nearly 7 percentage point improvement in the development margin percentage reflects a nearly 6 percentage point increase from lower cost of vacation ownership products due to favorable product cost true-up activity (nearly 5 percentage points) and, to a lesser extent, a favorable mix of lower cost real estate inventory being sold, and a 5 percentage point increase from efficiencies in marketing and sales spending. These increases were partially offset by a 3 percentage point decline due to lower revenue reportability and a 1 percentage point decline related to higher vacation ownership notes receivable reserve activity in 2012.</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3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Borders>
              <w:bottom w:val="single" w:sz="8" w:color="CCEEFF"/>
            </w:tcBorders>
            <w:vMerge w:val="continue"/>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(242)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(245)</w:t>
            </w: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(342)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(344)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rPr>
              <w:t>46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0.7 pts</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Revenues from the sale of vacation ownership products decreased $1 million from the prior year, driven by $31 million of lower company-owned gross contract sales (before cancellation allowances), partially offset by $16 million of higher revenue reportability, and approximately $14 million of lower vacation ownership notes receivable reserve activity resulting from lower reserves recorded in 2011 due to lower vacation ownership notes receivable default and delinquency activity. The $16 million of higher revenue reportability resulted from $25 million of higher revenue reportability in 2011 and $9 million of higher revenue reportability in the prior year. Revenue reportability was impacted favorably in 2011 because certain 2010 sales did not meet the requirements for revenue recognition purposes until 2011.</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increase in development margin reflects $9 million from higher revenue reportability, $7 million from lower vacation ownership notes receivable reserve activity, $3 million of severance charges in the prior year and a $1 million increase from lower contract sales volume net of direct variable expenses (</w:t>
      </w:r>
      <w:r>
        <w:rPr>
          <w:rFonts w:ascii="Arial" w:cs="Arial" w:eastAsia="Arial" w:hAnsi="Arial"/>
          <w:sz w:val="18"/>
          <w:szCs w:val="18"/>
          <w:i w:val="1"/>
          <w:iCs w:val="1"/>
          <w:color w:val="auto"/>
        </w:rPr>
        <w:t>i.e.,</w:t>
      </w:r>
      <w:r>
        <w:rPr>
          <w:rFonts w:ascii="Arial" w:cs="Arial" w:eastAsia="Arial" w:hAnsi="Arial"/>
          <w:sz w:val="18"/>
          <w:szCs w:val="18"/>
          <w:color w:val="auto"/>
        </w:rPr>
        <w:t xml:space="preserve"> cost of vacation ownership products and marketing and sales) mainly due to the favorable mix of real estate inventory being sold. These increases were partially offset by $9 million of charges in 2011, including $3 million of legal related charges, $3 million of costs related to ADA compliance and Hurricane Irene damage at our resort in the Bahamas, and $3 million of severance costs, $4 million of unfavorable product cost true-ups ($2 million of favorable product cost true-ups in 2011 compared to $6 million of favorable product cost true-ups in 2010), and a $3 million favorable adjustment to the Marriott Rewards customer loyalty program in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3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7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186</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175</w:t>
            </w: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253</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238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(199)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(198)</w:t>
            </w: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17.1%</w:t>
            </w: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4.3 pts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increase in resort management and other services revenues reflects $7 million of additional annual club dues earned in connection with the MVCD program, $4 million of higher management fees resulting from the cumulative increase in the number of vacation ownership products sold and higher operating costs across the system, $3 million of higher ancillary revenues from food and beverage and golf offerings, and nearly $1 million of higher resales revenues due to an increase in resales activity. These increases were partially offset by $1 million of lower customer service revenue due to lower Marriott Rewards Points exchange activity.</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improvement in the resort management and other services margin reflects $6 million of additional annual club dues earned in connection with the MVCD program net of expenses and lower variable enrollment costs due to fewer enrollments in 2012 than the prior year, a $5 million increase in management fees net of expenses, $3 million of higher ancillary revenues net of expenses and $1 million of higher resales revenues net of expenses. These increases were offset by $1 million of lower customer service revenues net of expenses.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Fiscal Years</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3"/>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16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0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175</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167</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6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17.1%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81"/>
              </w:rPr>
              <w:t>3.2 pts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resort management and other services revenues reflects $9 million of higher ancillary revenues from food and beverage and golf offerings, $8 million of additional annual club dues earned in connection with the MVCD program and $3 million of higher management fees resulting from the cumulative increase in the number of vacation ownership products sold and higher operating costs across the system. These increases were partially offset by $8 million of lower resales revenues due to a decrease in resales activity and $1 million of lower fees earned on lower contract closings under a marketing and sales arrangement with a joint venture.</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improvement in the resort management and other services margin reflects $6 million of additional annual club dues earned in connection with the MVCD program net of expenses and a $3 million increase in management fees.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40" w:type="dxa"/>
            <w:vAlign w:val="bottom"/>
          </w:tcPr>
          <w:p>
            <w:pPr>
              <w:spacing w:after="0"/>
              <w:rPr>
                <w:sz w:val="14"/>
                <w:szCs w:val="14"/>
                <w:color w:val="auto"/>
              </w:rPr>
            </w:pPr>
          </w:p>
        </w:tc>
        <w:tc>
          <w:tcPr>
            <w:tcW w:w="1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$145</w:t>
            </w:r>
          </w:p>
        </w:tc>
        <w:tc>
          <w:tcPr>
            <w:tcW w:w="3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w:t>
            </w: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Financing expenses</w:t>
            </w:r>
          </w:p>
        </w:tc>
        <w:tc>
          <w:tcPr>
            <w:tcW w:w="24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(26)</w:t>
            </w: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w:t>
            </w: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gridSpan w:val="2"/>
            <w:vMerge w:val="continue"/>
          </w:tcPr>
          <w:p>
            <w:pPr>
              <w:spacing w:after="0"/>
              <w:rPr>
                <w:sz w:val="18"/>
                <w:szCs w:val="18"/>
                <w:color w:val="auto"/>
              </w:rPr>
            </w:pP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43%</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decrease in financing revenues is due to a $138 million decline in the average gross vacation ownership notes receivable balance. This decline reflects our continued collection of existing vacation ownership notes receivable at a faster pace than our origination of new vacation ownership notes receivable. The $16 million decrease in financing margin from the prior year reflected the lower interest income, partially offset by nearly $2 million of lower expenses due to lower foreclosure costs as a result of lower foreclosure activity.</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Financing margin net of consumer financing interest expense declined $10 million to $84 million in 2012 from $94 million in the prior year. See “Interest Expense” below for a discussion of consumer financing interest expense.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40" w:type="dxa"/>
            <w:vAlign w:val="bottom"/>
          </w:tcPr>
          <w:p>
            <w:pPr>
              <w:spacing w:after="0"/>
              <w:rPr>
                <w:sz w:val="14"/>
                <w:szCs w:val="14"/>
                <w:color w:val="auto"/>
              </w:rPr>
            </w:pPr>
          </w:p>
        </w:tc>
        <w:tc>
          <w:tcPr>
            <w:tcW w:w="1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$162</w:t>
            </w:r>
          </w:p>
        </w:tc>
        <w:tc>
          <w:tcPr>
            <w:tcW w:w="3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w:t>
            </w: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Financing expenses</w:t>
            </w:r>
          </w:p>
        </w:tc>
        <w:tc>
          <w:tcPr>
            <w:tcW w:w="244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Financing margin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w:t>
            </w: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Financing propensity</w:t>
            </w:r>
          </w:p>
        </w:tc>
        <w:tc>
          <w:tcPr>
            <w:tcW w:w="2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gridSpan w:val="2"/>
            <w:vMerge w:val="continue"/>
          </w:tcPr>
          <w:p>
            <w:pPr>
              <w:spacing w:after="0"/>
              <w:rPr>
                <w:sz w:val="18"/>
                <w:szCs w:val="18"/>
                <w:color w:val="auto"/>
              </w:rPr>
            </w:pP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43%</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decrease in financing revenues is due to a $164 million decline in the average gross vacation ownership notes receivable balance. This decline reflects our continued collection of existing vacation ownership notes receivable at a faster pace than our origination of new vacation ownership notes receivable. The $21 million decrease in financing margin from the prior year reflected the lower interest income and $2 million of higher expenses due to higher foreclosure costs as a result of higher foreclosure activity.</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Financing margin net of consumer financing interest expense declined $12 million to $94 million in 2011 from $106 million in the prior year. See “Interest Expense” below for a discussion of consumer financing 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38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26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380" w:type="dxa"/>
            <w:vAlign w:val="bottom"/>
            <w:tcBorders>
              <w:bottom w:val="single" w:sz="8" w:color="CCEEFF"/>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3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line="20" w:lineRule="exact"/>
              <w:rPr>
                <w:sz w:val="1"/>
                <w:szCs w:val="1"/>
                <w:color w:val="auto"/>
              </w:rPr>
            </w:pPr>
          </w:p>
        </w:tc>
      </w:tr>
      <w:tr>
        <w:trPr>
          <w:trHeight w:val="222"/>
        </w:trPr>
        <w:tc>
          <w:tcPr>
            <w:tcW w:w="43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9"/>
                <w:szCs w:val="19"/>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38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 pts</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Fiscal Years</w:t>
            </w: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36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3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36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Transient keys rented</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962,946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883,471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79,475</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189.30</w:t>
            </w:r>
          </w:p>
        </w:tc>
        <w:tc>
          <w:tcPr>
            <w:tcW w:w="260" w:type="dxa"/>
            <w:vAlign w:val="bottom"/>
          </w:tcPr>
          <w:p>
            <w:pPr>
              <w:spacing w:after="0"/>
              <w:rPr>
                <w:sz w:val="18"/>
                <w:szCs w:val="18"/>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186.57</w:t>
            </w:r>
          </w:p>
        </w:tc>
        <w:tc>
          <w:tcPr>
            <w:tcW w:w="38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60"/>
              <w:spacing w:after="0"/>
              <w:rPr>
                <w:sz w:val="20"/>
                <w:szCs w:val="20"/>
                <w:color w:val="auto"/>
              </w:rPr>
            </w:pPr>
            <w:r>
              <w:rPr>
                <w:rFonts w:ascii="Arial" w:cs="Arial" w:eastAsia="Arial" w:hAnsi="Arial"/>
                <w:sz w:val="18"/>
                <w:szCs w:val="18"/>
                <w:color w:val="auto"/>
              </w:rPr>
              <w:t>2.73</w:t>
            </w: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89.8%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 pts</w:t>
            </w:r>
          </w:p>
        </w:tc>
        <w:tc>
          <w:tcPr>
            <w:tcW w:w="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38"/>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increase in rental revenues is due to $15 million from a company-wide 9 percent increase in transient keys rented, which were primarily sourced from a nearly 6 percent increase in available keys (95,000 additional available keys) due to more owners choosing to exchange their vacation ownership interests for alternative usage options, and more than $2 million from a company-wide 1 percent increase in average transient rate driven by stronger consumer demand and mix of available inventory. These increases were offset by $4 million of lower plus points revenue (which is recognized upon utilization of plus points for stays at our resorts or upon expiration of the points).</w:t>
      </w:r>
    </w:p>
    <w:p>
      <w:pPr>
        <w:spacing w:after="0" w:line="143"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The increase in rental margin reflects $12 million of higher rental revenues net of direct variable expenses (such as housekeeping) and expenses incurred due to owners choosing alternative usage options due to stronger rental demand and more effective monetization of the increased available keys, $5 million of lower maintenance fees on unsold inventory, and $2 million of lower subsidy costs. These increases were partially offset by $7 million of higher than expected costs in 2012 associated with the redemption of Marriott Rewards Points issued prior to the Spin-Off and $4 million of lower plus points revenue.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rPr>
              <w:t>Fiscal Years</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89"/>
              </w:rPr>
              <w:t>Change</w:t>
            </w:r>
          </w:p>
        </w:tc>
        <w:tc>
          <w:tcPr>
            <w:tcW w:w="46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 Change</w:t>
            </w:r>
          </w:p>
        </w:tc>
        <w:tc>
          <w:tcPr>
            <w:tcW w:w="26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vMerge w:val="continue"/>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2010</w:t>
            </w: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60" w:type="dxa"/>
            <w:vAlign w:val="bottom"/>
            <w:tcBorders>
              <w:bottom w:val="single" w:sz="8" w:color="CCEEFF"/>
            </w:tcBorders>
            <w:gridSpan w:val="2"/>
            <w:vMerge w:val="continue"/>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(155)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10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line="20" w:lineRule="exact"/>
              <w:rPr>
                <w:sz w:val="1"/>
                <w:szCs w:val="1"/>
                <w:color w:val="auto"/>
              </w:rPr>
            </w:pPr>
          </w:p>
        </w:tc>
      </w:tr>
      <w:tr>
        <w:trPr>
          <w:trHeight w:val="222"/>
        </w:trPr>
        <w:tc>
          <w:tcPr>
            <w:tcW w:w="364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680" w:type="dxa"/>
            <w:vAlign w:val="bottom"/>
            <w:gridSpan w:val="2"/>
          </w:tcPr>
          <w:p>
            <w:pPr>
              <w:jc w:val="right"/>
              <w:ind w:right="12"/>
              <w:spacing w:after="0"/>
              <w:rPr>
                <w:sz w:val="20"/>
                <w:szCs w:val="20"/>
                <w:color w:val="auto"/>
              </w:rPr>
            </w:pPr>
            <w:r>
              <w:rPr>
                <w:rFonts w:ascii="Arial" w:cs="Arial" w:eastAsia="Arial" w:hAnsi="Arial"/>
                <w:sz w:val="18"/>
                <w:szCs w:val="18"/>
                <w:color w:val="auto"/>
              </w:rPr>
              <w:t>(8)</w:t>
            </w:r>
          </w:p>
        </w:tc>
        <w:tc>
          <w:tcPr>
            <w:tcW w:w="460" w:type="dxa"/>
            <w:vAlign w:val="bottom"/>
          </w:tcPr>
          <w:p>
            <w:pPr>
              <w:spacing w:after="0"/>
              <w:rPr>
                <w:sz w:val="19"/>
                <w:szCs w:val="19"/>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5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10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(0.4 pts)</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36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0"/>
              </w:rPr>
              <w:t>Fiscal Years</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9"/>
              </w:rPr>
              <w:t>Change</w:t>
            </w:r>
          </w:p>
        </w:tc>
        <w:tc>
          <w:tcPr>
            <w:tcW w:w="4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7"/>
              </w:rPr>
              <w:t>% Change</w:t>
            </w:r>
          </w:p>
        </w:tc>
        <w:tc>
          <w:tcPr>
            <w:tcW w:w="2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640" w:type="dxa"/>
            <w:vAlign w:val="bottom"/>
            <w:tcBorders>
              <w:bottom w:val="single" w:sz="8" w:color="CCEEFF"/>
            </w:tcBorders>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vMerge w:val="continue"/>
          </w:tcPr>
          <w:p>
            <w:pPr>
              <w:spacing w:after="0"/>
              <w:rPr>
                <w:sz w:val="12"/>
                <w:szCs w:val="12"/>
                <w:color w:val="auto"/>
              </w:rPr>
            </w:pPr>
          </w:p>
        </w:tc>
        <w:tc>
          <w:tcPr>
            <w:tcW w:w="440" w:type="dxa"/>
            <w:vAlign w:val="bottom"/>
            <w:tcBorders>
              <w:bottom w:val="single" w:sz="8" w:color="CCEEFF"/>
            </w:tcBorders>
            <w:vMerge w:val="continue"/>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Transient keys rented</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883,471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863,944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19,527</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20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186.57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540"/>
              <w:spacing w:after="0"/>
              <w:rPr>
                <w:sz w:val="20"/>
                <w:szCs w:val="20"/>
                <w:color w:val="auto"/>
              </w:rPr>
            </w:pPr>
            <w:r>
              <w:rPr>
                <w:rFonts w:ascii="Arial" w:cs="Arial" w:eastAsia="Arial" w:hAnsi="Arial"/>
                <w:sz w:val="18"/>
                <w:szCs w:val="18"/>
                <w:color w:val="auto"/>
              </w:rPr>
              <w:t>182.16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40" w:type="dxa"/>
            <w:vAlign w:val="bottom"/>
          </w:tcPr>
          <w:p>
            <w:pPr>
              <w:spacing w:after="0"/>
              <w:rPr>
                <w:sz w:val="18"/>
                <w:szCs w:val="18"/>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90.2%</w:t>
            </w: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(0.4 pts)</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increase in rental revenues is due to the recognition of nearly $27 million of higher plus points revenue (which is recognized upon utilization of plus points for stays at our resorts or upon expiration of the points), nearly $4 million from a company-wide 2 percent increase in average transient rate driven by stronger consumer demand and mix of available inventory, and more than $3 million from a company-wide 2 percent increase in transient keys rented, which were primarily sourced from a 3 percent increase in available keys (53,000 additional available keys) due to more owners choosing to exchange their vacation ownership interests for alternative usage options (primarily usage for our Explorer program). These increases were partially offset by $9 million of lower revenues from the loss of rental units in our Asia Pacific segment due to the disposition in 2010 of an operating hotel that we originally acquired for conversion into vacation ownership products.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decrease in rental margin reflects $22 million of lower rental revenues net of direct variable expenses (such as housekeeping) and expenses incurred due to owners choosing alternative usage options, as well as a $12 million favorable adjustment in 2010 to the Marriott Rewards customer loyalty program liability resulting from lower than anticipated cost of redemptions of Marriott Rewards Points. Partially offsetting the decreases were the $27 million increase in plus points revenue, $3 million of lower maintenance fees on unsold inventory and $3 million of lower subsidy costs in our Luxury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80" w:type="dxa"/>
            <w:vAlign w:val="bottom"/>
          </w:tcPr>
          <w:p>
            <w:pPr>
              <w:spacing w:after="0"/>
              <w:rPr>
                <w:sz w:val="14"/>
                <w:szCs w:val="14"/>
                <w:color w:val="auto"/>
              </w:rPr>
            </w:pPr>
          </w:p>
        </w:tc>
        <w:tc>
          <w:tcPr>
            <w:tcW w:w="1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Fiscal Years</w:t>
            </w:r>
          </w:p>
        </w:tc>
        <w:tc>
          <w:tcPr>
            <w:tcW w:w="0" w:type="dxa"/>
            <w:vAlign w:val="bottom"/>
          </w:tcPr>
          <w:p>
            <w:pPr>
              <w:spacing w:after="0"/>
              <w:rPr>
                <w:sz w:val="1"/>
                <w:szCs w:val="1"/>
                <w:color w:val="auto"/>
              </w:rPr>
            </w:pPr>
          </w:p>
        </w:tc>
      </w:tr>
      <w:tr>
        <w:trPr>
          <w:trHeight w:val="142"/>
        </w:trPr>
        <w:tc>
          <w:tcPr>
            <w:tcW w:w="480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revenues</w:t>
            </w:r>
          </w:p>
        </w:tc>
        <w:tc>
          <w:tcPr>
            <w:tcW w:w="2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expenses</w:t>
            </w:r>
          </w:p>
        </w:tc>
        <w:tc>
          <w:tcPr>
            <w:tcW w:w="25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Other revenues net of expenses remained in line with 2011 due to $1 million of higher external exchange company and settlement revenues and $1 million of higher expenses. The increase in expenses resulted from a $2 million favorable true-up in the prior year related to the 2010 bonus accrual following final bonus payouts totaling less than the amount accrued, partially offset by $1 million of lower miscellaneous expenses in 2012 over the prior year.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80" w:type="dxa"/>
            <w:vAlign w:val="bottom"/>
          </w:tcPr>
          <w:p>
            <w:pPr>
              <w:spacing w:after="0"/>
              <w:rPr>
                <w:sz w:val="14"/>
                <w:szCs w:val="14"/>
                <w:color w:val="auto"/>
              </w:rPr>
            </w:pPr>
          </w:p>
        </w:tc>
        <w:tc>
          <w:tcPr>
            <w:tcW w:w="13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Fiscal Years</w:t>
            </w:r>
          </w:p>
        </w:tc>
        <w:tc>
          <w:tcPr>
            <w:tcW w:w="0" w:type="dxa"/>
            <w:vAlign w:val="bottom"/>
          </w:tcPr>
          <w:p>
            <w:pPr>
              <w:spacing w:after="0"/>
              <w:rPr>
                <w:sz w:val="1"/>
                <w:szCs w:val="1"/>
                <w:color w:val="auto"/>
              </w:rPr>
            </w:pPr>
          </w:p>
        </w:tc>
      </w:tr>
      <w:tr>
        <w:trPr>
          <w:trHeight w:val="142"/>
        </w:trPr>
        <w:tc>
          <w:tcPr>
            <w:tcW w:w="480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Other revenues</w:t>
            </w:r>
          </w:p>
        </w:tc>
        <w:tc>
          <w:tcPr>
            <w:tcW w:w="2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expenses</w:t>
            </w:r>
          </w:p>
        </w:tc>
        <w:tc>
          <w:tcPr>
            <w:tcW w:w="25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revenues, net of expenses</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w:t>
            </w: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Other revenues net of expenses increased primarily due to $3 million of lower miscellaneous expenses in 2011 over the prior year and a $2 million favorable true-up in 2011 related to the 2010 bonus accrual following final bonus payouts totaling less than the amount accrued.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reimbursements increased $31 million (9 percent) over the prior year, reflecting higher costs and the impact of growth across the system in 2012.</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Cost reimbursements increased $13 million (4 percent) over the prior year, reflecting higher costs and the impact of growth across the system in 2011.</w:t>
      </w:r>
    </w:p>
    <w:p>
      <w:pPr>
        <w:spacing w:after="0" w:line="269" w:lineRule="exact"/>
        <w:rPr>
          <w:sz w:val="20"/>
          <w:szCs w:val="20"/>
          <w:color w:val="auto"/>
        </w:rPr>
      </w:pPr>
    </w:p>
    <w:p>
      <w:pPr>
        <w:jc w:val="right"/>
        <w:ind w:right="9240"/>
        <w:spacing w:after="0"/>
        <w:rPr>
          <w:sz w:val="20"/>
          <w:szCs w:val="20"/>
          <w:color w:val="auto"/>
        </w:rPr>
      </w:pPr>
      <w:r>
        <w:rPr>
          <w:rFonts w:ascii="Arial" w:cs="Arial" w:eastAsia="Arial" w:hAnsi="Arial"/>
          <w:sz w:val="16"/>
          <w:szCs w:val="16"/>
          <w:b w:val="1"/>
          <w:bCs w:val="1"/>
          <w:color w:val="auto"/>
        </w:rPr>
        <w:t>General and Administrative</w:t>
      </w:r>
    </w:p>
    <w:p>
      <w:pPr>
        <w:spacing w:after="0" w:line="119" w:lineRule="exact"/>
        <w:rPr>
          <w:sz w:val="20"/>
          <w:szCs w:val="20"/>
          <w:color w:val="auto"/>
        </w:rPr>
      </w:pPr>
    </w:p>
    <w:p>
      <w:pPr>
        <w:jc w:val="right"/>
        <w:ind w:right="9200"/>
        <w:spacing w:after="0"/>
        <w:rPr>
          <w:sz w:val="20"/>
          <w:szCs w:val="20"/>
          <w:color w:val="auto"/>
        </w:rPr>
      </w:pPr>
      <w:r>
        <w:rPr>
          <w:rFonts w:ascii="Arial" w:cs="Arial" w:eastAsia="Arial" w:hAnsi="Arial"/>
          <w:sz w:val="18"/>
          <w:szCs w:val="18"/>
          <w:i w:val="1"/>
          <w:iCs w:val="1"/>
          <w:color w:val="auto"/>
        </w:rPr>
        <w:t>2012 Compared to 2011</w:t>
      </w:r>
    </w:p>
    <w:p>
      <w:pPr>
        <w:spacing w:after="0" w:line="90"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General and administrative expenses increased $5 million (from $81 million to $86 million) over the prior year due mainly to incremental stand-alone public company costs incurred in the current year and higher personnel related costs (higher bonus costs and merits), offset partially by cost savings.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General and administrative expenses decreased $1 million to $81 million in 2011 from $82 million in 2010 due to lower technology-related depreciation expense and the full-year impact of cost savings initiatives that resulted in lower finance and accounting, human resources, information resources and other costs, partially offset by $1 million of higher severance expenses in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the 2012 fourth quarter we agreed to settle two lawsuits in which certain of our subsidiaries were defendants. The plaintiffs in the lawsuits, residential unit owners at The Ritz-Carlton Club and Residences, San Francisco (the “RCC San Francisco”), a project within our Luxury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 A third lawsuit is pending in which one owner at the RCC San Francisco has asserted similar claims. This lawsuit is distinct from the settled lawsuits, and we believe that we have defenses with respect to the claims asserted in such lawsuit and intend to vigorously defend against it.</w:t>
      </w:r>
    </w:p>
    <w:p>
      <w:pPr>
        <w:spacing w:after="0" w:line="12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a result of the settlements and the pending lawsuit, we recorded a charge in connection with these matters of $41 million in the year ended December 28, 2012, of which $39 million was recorded in the 2012 fourth quarter. In addition, we repurchased units owned by certain of the plaintiffs in the settled lawsuits which were recorded in inventory at fair value less cost to sell of $13 million. We used Level 3 inputs in a discounted cash flow model to determine the fair value of these assets. While we believe that amounts accrued will be adequate, depending on the outcome of the pending lawsuit, we may be required to record additional charges in connection with the remaining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and Separation Related Efforts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90"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Since the Spin-Off, Marriott International has continued to provide us with certain information technology, payroll, human resources and other administrative services pursuant to transition services agreements. In connection with our continued organizational</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and separation related activities, we incurred $18 million in 2012, of which $2 million was capitalized. We expect total future spending for these efforts to be approximately $22 million to $27 million, of which approximately $8 million to $10 million is expected to be capitalized and amortized over their useful lives. Both spending incurred to date and that to be incurred in the future will primarily relate to establishing our own information technology systems and services, independent payroll and accounts payable functions and reorganizing existing human resources, information technology, and related finance and accounting organizations to support our stand-alone public company needs. We expect these efforts to continue through 2014. Once completed, these efforts are expected to generate approximately $15 million to $20 million of annualized savings, of which approximately $5 million are reflected in our 2012 financial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20" w:type="dxa"/>
            <w:vAlign w:val="bottom"/>
          </w:tcPr>
          <w:p>
            <w:pPr>
              <w:spacing w:after="0"/>
              <w:rPr>
                <w:sz w:val="14"/>
                <w:szCs w:val="14"/>
                <w:color w:val="auto"/>
              </w:rPr>
            </w:pPr>
          </w:p>
        </w:tc>
        <w:tc>
          <w:tcPr>
            <w:tcW w:w="13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Fiscal Years</w:t>
            </w:r>
          </w:p>
        </w:tc>
        <w:tc>
          <w:tcPr>
            <w:tcW w:w="0" w:type="dxa"/>
            <w:vAlign w:val="bottom"/>
          </w:tcPr>
          <w:p>
            <w:pPr>
              <w:spacing w:after="0"/>
              <w:rPr>
                <w:sz w:val="1"/>
                <w:szCs w:val="1"/>
                <w:color w:val="auto"/>
              </w:rPr>
            </w:pPr>
          </w:p>
        </w:tc>
      </w:tr>
      <w:tr>
        <w:trPr>
          <w:trHeight w:val="142"/>
        </w:trPr>
        <w:tc>
          <w:tcPr>
            <w:tcW w:w="5140" w:type="dxa"/>
            <w:vAlign w:val="bottom"/>
            <w:gridSpan w:val="2"/>
            <w:vMerge w:val="continue"/>
          </w:tcPr>
          <w:p>
            <w:pPr>
              <w:spacing w:after="0"/>
              <w:rPr>
                <w:sz w:val="12"/>
                <w:szCs w:val="12"/>
                <w:color w:val="auto"/>
              </w:rPr>
            </w:pPr>
          </w:p>
        </w:tc>
        <w:tc>
          <w:tcPr>
            <w:tcW w:w="222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Consumer financing interest expense</w:t>
            </w:r>
          </w:p>
        </w:tc>
        <w:tc>
          <w:tcPr>
            <w:tcW w:w="2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$(41)</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Non-consumer financing interest expense</w:t>
            </w:r>
          </w:p>
        </w:tc>
        <w:tc>
          <w:tcPr>
            <w:tcW w:w="22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00" w:firstLine="456"/>
        <w:spacing w:after="0" w:line="294" w:lineRule="auto"/>
        <w:rPr>
          <w:sz w:val="20"/>
          <w:szCs w:val="20"/>
          <w:color w:val="auto"/>
        </w:rPr>
      </w:pPr>
      <w:r>
        <w:rPr>
          <w:rFonts w:ascii="Arial" w:cs="Arial" w:eastAsia="Arial" w:hAnsi="Arial"/>
          <w:sz w:val="16"/>
          <w:szCs w:val="16"/>
          <w:color w:val="auto"/>
        </w:rPr>
        <w:t>The lower consumer financing interest expense reflects lower outstanding debt balances and associated interest costs related to the securitized vacation ownership notes receivable, partially offset by interest expense and amortized costs associated with the Warehouse Credit Facility. The higher non-consumer financing interest expense primarily includes $8 million of expense associated with the liability for the Marriott Rewards customer loyalty program under the Marriott Rewards Agreement, $4 million of higher dividends associated with the preferred stock issued in connection with the Spin-Off, $3 million of lower capitalized interest costs, and $2 million of amortized costs associated with the Revolving Corporate Credit Facility.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8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0" w:type="dxa"/>
            <w:vAlign w:val="bottom"/>
          </w:tcPr>
          <w:p>
            <w:pPr>
              <w:spacing w:after="0"/>
              <w:rPr>
                <w:sz w:val="14"/>
                <w:szCs w:val="14"/>
                <w:color w:val="auto"/>
              </w:rPr>
            </w:pPr>
          </w:p>
        </w:tc>
        <w:tc>
          <w:tcPr>
            <w:tcW w:w="13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Fiscal Years</w:t>
            </w:r>
          </w:p>
        </w:tc>
        <w:tc>
          <w:tcPr>
            <w:tcW w:w="0" w:type="dxa"/>
            <w:vAlign w:val="bottom"/>
          </w:tcPr>
          <w:p>
            <w:pPr>
              <w:spacing w:after="0"/>
              <w:rPr>
                <w:sz w:val="1"/>
                <w:szCs w:val="1"/>
                <w:color w:val="auto"/>
              </w:rPr>
            </w:pPr>
          </w:p>
        </w:tc>
      </w:tr>
      <w:tr>
        <w:trPr>
          <w:trHeight w:val="142"/>
        </w:trPr>
        <w:tc>
          <w:tcPr>
            <w:tcW w:w="5120" w:type="dxa"/>
            <w:vAlign w:val="bottom"/>
            <w:gridSpan w:val="2"/>
            <w:vMerge w:val="continue"/>
          </w:tcPr>
          <w:p>
            <w:pPr>
              <w:spacing w:after="0"/>
              <w:rPr>
                <w:sz w:val="12"/>
                <w:szCs w:val="12"/>
                <w:color w:val="auto"/>
              </w:rPr>
            </w:pPr>
          </w:p>
        </w:tc>
        <w:tc>
          <w:tcPr>
            <w:tcW w:w="22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Consumer financing interest expense</w:t>
            </w:r>
          </w:p>
        </w:tc>
        <w:tc>
          <w:tcPr>
            <w:tcW w:w="2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 (47)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 (56)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Non-consumer financing interest expense</w:t>
            </w:r>
          </w:p>
        </w:tc>
        <w:tc>
          <w:tcPr>
            <w:tcW w:w="220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(47)</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lower consumer financing interest expense reflects lower outstanding debt balances and associated interest costs related to the securitized vacation ownership notes receivable, partially offset by interest expense and amortized costs associated with the Warehouse Credit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 and 2011 Compared to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Royalty fee expenses relate to amounts due under the License Agreements for periods subsequent to the Spin-Off.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related to impairment charges, including how impairments were determined and the impairment charges grouped by product type and/or geographic location, see Footnote No. 16, “Impairment Charges,” of the Notes to our Financial Statements.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There were no impairment charges in 2012. Based on our current plans, we believe we have identified all excess land and inventory. However, if our future plans change, the planned use of such assets may change. Further, to the extent that real estate market conditions change, our estimates of the fair value of such assets may change.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w:t>
      </w:r>
    </w:p>
    <w:p>
      <w:pPr>
        <w:spacing w:after="0" w:line="9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2011, we recorded a pre-tax non-cash impairment charge of $324 million in our Statements of Operations. As discussed in more detail in Footnote No. 16 to our Financial Statements, “Impairment Charges,” in 2011 management approved a plan to accelerate cash flow through the monetization of certain excess undeveloped parcels of land and excess built Luxury fractional and residential inventory.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2010, we recorded pre-tax impairment charges totaling a net $15 million in our Statements of Operations primarily comprised of a $14 million impairment charge in connection with a golf course and related assets that we decided to sell (the amount of this charge was equal to the excess of our carrying cost over estimated fair value) and a $6 million impairment charge associated with our Luxury segment inventory due to continued sluggish sales, partially offset by the reversal of $5 million of previously recorded impairment charges due to our negotiation of a reduction in a purchase commitment with a third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Gains and other income of $9 million included an $8 million gain on the disposition of a golf course and related assets at one of our Luxury projects.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Gains and other income of $2 million included a gain on the disposition of excess inventory and land at one of our Luxury projects.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Gains and other income of $21 million reflected a gain on the sale of an operating hotel that we originally acquired for conversion into vacation ownership products for our Asia Pacific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 (Losses)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$1 million increase in equity in earnings in 2012 reflected earnings related to our investment in a joint venture in our Asia Pacific segment.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decline in equity in losses to $0 in 2011 from $8 million in 2010 reflected the discontinuance of recording equity in losses associated with a Luxury segment joint venture, when our investment in the joint venture, including loans due from the joint venture, reached zero in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Reversals on Equity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2012, we reversed $2 million of our previously recorded impairment of an equity investment because the actual costs incurred to suspend the marketing and sales operations were lower than previously estimated.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2011, we reversed nearly $4 million of our previously recorded impairment of an equity investment based on facts and circumstances surrounding the project, including favorable resolution of certain construction-related claims and contingent obligations to refund certain deposits relating to sales that have subsequently closed.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2010, we reversed $11 million of our previously recorded impairment of an equity investment based on facts and circumstances surrounding the project, including favorable resolution of certain construction-related legal claims and potential funding of certain costs by one of our joint venture partners.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Our effective tax rate for fiscal years 2012, 2011 and 2010 was an expense of 57.54%, a benefit of 16.79%, and expense of 40.06% respectively. Our tax rate is affected by recurring items, such as non-deductible expenses, tax rates in foreign jurisdictions and the relative amount of income we earn in jurisdictions, which we expect to be fairly consistent in the near term. It is also affected by discrete items that may occur in any given year, but are not consistent from year to year. The following is a description of the items impacting our effective tax rate during the current and prior two years.</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90"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Income tax expense increased by $57 million (from a benefit of $36 million to a provision of $21 million) from the prior year. The increase in income tax expense in 2012 is primarily related to an impairment charge taken in the third quarter 2011 financial statements resulting in the recording of a tax benefit in the prior year. The 2012 effective tax rate differs from the U.S. federal tax rate of 35 percent due to the impact of foreign losses, for which no benefit is received in our U.S. income tax provision.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Income tax expense decreased by $81 million to a tax benefit of $36 million in 2011 compared to a tax provision of $45 million in 2010. The decrease in income tax expense is primarily related to a decrease in pre-tax income driven by the $90 million tax benefit resulting from the $324 million impairment charge in the third quarter of 2011. Of the impairment charges, $234 million were incurred in the U.S. and $90 million were attributable to foreign jurisdictions.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effective tax rate decreased from a tax expense of 40.06 percent during 2010 to a tax benefit of 16.79 percent in 2011 primarily driven by the tax benefit attributable to the U.S. impairment charges. This change is partially offset by an increase in the foreign tax rate due to impairment charges on foreign properties resulting in losses for which no tax benefit was received because they were incurred in low tax jurisdictions or jurisdictions with a valuation allowance.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08"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We also evaluate Adjusted EBITDA, another non-GAAP financial measure, as an indicator of performance. Our Adjusted EBITDA excludes the impact of non-cash impairment charges or reversals and restructuring charges and includes the impact of interest expense associated with the debt from the Warehouse Credit Facility and from the securitization of our vacation ownership notes receivable in the term ABS market, which together we refer to as consumer financing interest expense. We deduct consumer financing interest expense in determining Adjusted EBITDA since the debt is secured by vacation ownership notes receivable that have been sold to bankruptcy remote special purpose entities and is generally non-recourse to us. We evaluate Adjusted EBITDA, which adjusts for these items, to allow for period-over-period comparisons of our ongoing core operations before material charges. Adjusted EBITDA is also useful in measuring our ability to service our non-securitized debt. Together, EBITDA and Adjusted EBITDA facilitate our comparison of results from our ongoing operations with results from other vacation ownership companies.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EBITDA and Adjusted EBITDA have limitations and should not be considered in isolation or as a substitute for performance measures calculated in accordance with GAAP.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income (loss).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income (loss) to EBITDA and Adjusted EBITDA:</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7"/>
              </w:rPr>
              <w:t>Fiscal Years</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$(178)</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Tax provision (benefit), continuing operations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EBITDA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207</w:t>
            </w:r>
          </w:p>
        </w:tc>
        <w:tc>
          <w:tcPr>
            <w:tcW w:w="0" w:type="dxa"/>
            <w:vAlign w:val="bottom"/>
          </w:tcPr>
          <w:p>
            <w:pPr>
              <w:spacing w:after="0"/>
              <w:rPr>
                <w:sz w:val="1"/>
                <w:szCs w:val="1"/>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Impairment charges:</w:t>
            </w:r>
          </w:p>
        </w:tc>
        <w:tc>
          <w:tcPr>
            <w:tcW w:w="19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Impairment reversals on equity investment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140" w:type="dxa"/>
            <w:vAlign w:val="bottom"/>
            <w:gridSpan w:val="3"/>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Consumer financing interest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(41)</w:t>
            </w: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(43)</w:t>
            </w: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8"/>
        </w:trPr>
        <w:tc>
          <w:tcPr>
            <w:tcW w:w="5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Adjusted EBITDA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$ 139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business is grouped into four reportable business segments: North America, Luxury, Europe and Asia Pacific. At the end of 2012, we operated 64 properties, of which 50 were in the United States (including U.S. territories). See Footnote No. 19, “Business Segments,” of the Notes to our Financial Statements for further information on our segments, and “Business—Segments” for further details regarding our individual properties by segment.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North America</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Fiscal Years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Sale of vacation ownership products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529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484</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20" w:type="dxa"/>
            <w:vAlign w:val="bottom"/>
            <w:vMerge w:val="continue"/>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1,363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1,272</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0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Cost of vacation ownership products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sales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Resort management and other services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Other</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Organizational and separation related</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Royalty fee</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expenses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1,054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880"/>
              <w:spacing w:after="0"/>
              <w:rPr>
                <w:sz w:val="20"/>
                <w:szCs w:val="20"/>
                <w:color w:val="auto"/>
              </w:rPr>
            </w:pPr>
            <w:r>
              <w:rPr>
                <w:rFonts w:ascii="Arial" w:cs="Arial" w:eastAsia="Arial" w:hAnsi="Arial"/>
                <w:sz w:val="18"/>
                <w:szCs w:val="18"/>
                <w:color w:val="auto"/>
              </w:rPr>
              <w:t>Segment financial results</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30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20" w:type="dxa"/>
            <w:vAlign w:val="bottom"/>
            <w:vMerge w:val="restart"/>
          </w:tcPr>
          <w:p>
            <w:pPr>
              <w:jc w:val="right"/>
              <w:ind w:right="1972"/>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Fiscal Years</w:t>
            </w:r>
          </w:p>
        </w:tc>
        <w:tc>
          <w:tcPr>
            <w:tcW w:w="26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$577</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$510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67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 contract sales</w:t>
            </w: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578</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514</w:t>
            </w:r>
          </w:p>
        </w:tc>
        <w:tc>
          <w:tcPr>
            <w:tcW w:w="26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increase in contract sales in our North America segment reflected an 18 percent increase in VPG to $2,963 in 2012 from $2,504 in the prior year. This increase in VPG was due to a 2 percentage point increase in closing efficiency resulting from improved marketing and sales execution and a 2 percent price increase.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Fiscal Years</w:t>
            </w:r>
          </w:p>
        </w:tc>
        <w:tc>
          <w:tcPr>
            <w:tcW w:w="26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3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$510</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$529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40"/>
              <w:spacing w:after="0"/>
              <w:rPr>
                <w:sz w:val="20"/>
                <w:szCs w:val="20"/>
                <w:color w:val="auto"/>
              </w:rPr>
            </w:pPr>
            <w:r>
              <w:rPr>
                <w:rFonts w:ascii="Arial" w:cs="Arial" w:eastAsia="Arial" w:hAnsi="Arial"/>
                <w:sz w:val="18"/>
                <w:szCs w:val="18"/>
                <w:color w:val="auto"/>
              </w:rPr>
              <w:t>Total contract sales</w:t>
            </w: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line="20" w:lineRule="exact"/>
              <w:rPr>
                <w:sz w:val="1"/>
                <w:szCs w:val="1"/>
                <w:color w:val="auto"/>
              </w:rPr>
            </w:pPr>
          </w:p>
        </w:tc>
      </w:tr>
      <w:tr>
        <w:trPr>
          <w:trHeight w:val="222"/>
        </w:trPr>
        <w:tc>
          <w:tcPr>
            <w:tcW w:w="68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514</w:t>
            </w:r>
          </w:p>
        </w:tc>
        <w:tc>
          <w:tcPr>
            <w:tcW w:w="5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530</w:t>
            </w:r>
          </w:p>
        </w:tc>
        <w:tc>
          <w:tcPr>
            <w:tcW w:w="260" w:type="dxa"/>
            <w:vAlign w:val="bottom"/>
          </w:tcPr>
          <w:p>
            <w:pPr>
              <w:spacing w:after="0"/>
              <w:rPr>
                <w:sz w:val="19"/>
                <w:szCs w:val="19"/>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decrease in contract sales reflected a $19 million decline in the first half of 2011 compared to the first half of 2010 and a $3 million increase in the second half of 2011 compared to the second half of 2010.</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$19 million (7 percent) decline in contract sales in the first half of 2011 compared to the first half of 2010 corresponds with the launch of the MVCD program in June 2010 and our decision to focus on enrolling and selling our new product to existing owners at an average purchase price that was generally lower than the average purchase price for new owners. As a result, while the number of sales contracts executed in the first half of 2011 rose by 22 percent from the first half of 2010, the average price per contract for sales to existing owners in the first half of 2011 was approximately $7,000 (25 percent) lower than in the first half of 2010.</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$3 million (1 percent) increase in contract sales in the second half of 2011 compared to the second half of 2010 reflected a nearly 8 percent increase in volume per guest to $2,463 in the second half of 2011 from $2,285 in the second half of 2010. This increase was driven by an increase in the minimum purchase price requirements for existing owners who make additional purchases, as well as incentives to encourage larger purchases. Although sales contracts executed with new owners were up nearly 4 percent during the period, total sales contracts executed were down 18 percent, driven by a 25 percent decrease in existing owner purchases, reflecting our focus in the second half of 2010 on enrolling existing owners in the MVCD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tcPr>
          <w:p>
            <w:pPr>
              <w:spacing w:after="0"/>
              <w:rPr>
                <w:sz w:val="14"/>
                <w:szCs w:val="14"/>
                <w:color w:val="auto"/>
              </w:rPr>
            </w:pPr>
          </w:p>
        </w:tc>
        <w:tc>
          <w:tcPr>
            <w:tcW w:w="12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Fiscal Years</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Change</w:t>
            </w:r>
          </w:p>
        </w:tc>
        <w:tc>
          <w:tcPr>
            <w:tcW w:w="60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Borders>
              <w:bottom w:val="single" w:sz="8" w:color="CCEEFF"/>
            </w:tcBorders>
            <w:vMerge w:val="continue"/>
          </w:tcPr>
          <w:p>
            <w:pPr>
              <w:spacing w:after="0"/>
              <w:rPr>
                <w:sz w:val="12"/>
                <w:szCs w:val="12"/>
                <w:color w:val="auto"/>
              </w:rPr>
            </w:pPr>
          </w:p>
        </w:tc>
        <w:tc>
          <w:tcPr>
            <w:tcW w:w="18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gridSpan w:val="2"/>
            <w:vMerge w:val="continue"/>
          </w:tcPr>
          <w:p>
            <w:pPr>
              <w:spacing w:after="0"/>
              <w:rPr>
                <w:sz w:val="12"/>
                <w:szCs w:val="12"/>
                <w:color w:val="auto"/>
              </w:rPr>
            </w:pPr>
          </w:p>
        </w:tc>
        <w:tc>
          <w:tcPr>
            <w:tcW w:w="60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$ 529</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660" w:type="dxa"/>
            <w:vAlign w:val="bottom"/>
            <w:gridSpan w:val="3"/>
          </w:tcPr>
          <w:p>
            <w:pPr>
              <w:jc w:val="right"/>
              <w:ind w:right="36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(190)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17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(248)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8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1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$ 102</w:t>
            </w:r>
          </w:p>
        </w:tc>
        <w:tc>
          <w:tcPr>
            <w:tcW w:w="4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46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56</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2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1"/>
              </w:rPr>
              <w:t>9.8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increase in revenues from the sale of vacation ownership products was due to the $64 million increase in contract sales and a $5 million favorable change in the vacation ownership notes receivable reserve activity, partially offset by $24 million of lower revenue reportability in 2012 compared to the prior year. The $5 million favorable change in the reserve activity was mainly due to lower default and delinquency activity in 2012. The $24 million of lower revenue reportability resulted from $4 million of lower revenue reportability in 2012 compared to $20 million of higher revenue reportability in the prior year. Revenue reportability was impacted unfavorably in 2012 because certain financed sales did not meet the down payment requirement for revenue recognition purposes prior to the end of the period, while 2011 revenue reportability was favorably impacted because certain 2010 financed sales did not meet the requirements for revenue recognition purposes until 2011.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The increase in development margin reflects a $37 million increase from higher contract sales volume net of direct variable expenses (</w:t>
      </w:r>
      <w:r>
        <w:rPr>
          <w:rFonts w:ascii="Arial" w:cs="Arial" w:eastAsia="Arial" w:hAnsi="Arial"/>
          <w:sz w:val="15"/>
          <w:szCs w:val="15"/>
          <w:i w:val="1"/>
          <w:iCs w:val="1"/>
          <w:color w:val="auto"/>
        </w:rPr>
        <w:t>i.e.,</w:t>
      </w:r>
      <w:r>
        <w:rPr>
          <w:rFonts w:ascii="Arial" w:cs="Arial" w:eastAsia="Arial" w:hAnsi="Arial"/>
          <w:sz w:val="15"/>
          <w:szCs w:val="15"/>
          <w:color w:val="auto"/>
        </w:rPr>
        <w:t xml:space="preserve"> cost of vacation ownership products and marketing and sales) mainly from more efficient marketing and sales spending and a favorable mix of real estate inventory being sold, $27 million of favorable product cost true-ups ($27 million of favorable product cost true-ups in 2012 compared to $0 product cost true-ups in the prior year), $3 million of lower vacation ownership notes receivable reserve activity, and $3 million of charges in the prior year related to $2 million of severance costs and $1 million related to ADA compliance. These increases were partially offset by a $12 million net impact from lower revenue reportability year-over-year and a $2 million charge related to higher than expected costs in 2012 associated with the redemption of Marriott Reward Points issued prior to the Spin-Off.</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favorable product cost true-ups recorded in 2012 relate mainly to higher estimated sales revenues we expect to generate over the life of the projects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 million) primarily from adjustments to future volume and pricing assumptions, based upon our sales experience to date and, to a lesser extent, lower overall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development costs on specific projects that are substantially completed ($6 million).</w:t>
      </w:r>
    </w:p>
    <w:p>
      <w:pPr>
        <w:spacing w:after="0" w:line="165"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nearly 10 percentage point improvement in the development margin percentage primarily reflects a more than 6 percentage point increase from lower cost of vacation ownership products due to the favorable product cost true-up activity (5 percentage points) and, to a lesser extent, a favorable mix of lower cost real estate inventory being sold, a 4 percentage point increase from efficiencies in marketing and sales spending, and a 1 percentage point improvement from higher contract sales volume. These increases were partially offset by a more than 2 percentage point decline due to lower revenue reportability.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4"/>
                <w:szCs w:val="14"/>
                <w:b w:val="1"/>
                <w:bCs w:val="1"/>
                <w:color w:val="auto"/>
              </w:rPr>
              <w:t>Fiscal Years</w:t>
            </w:r>
          </w:p>
        </w:tc>
        <w:tc>
          <w:tcPr>
            <w:tcW w:w="3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9"/>
              </w:rPr>
              <w:t>Change</w:t>
            </w:r>
          </w:p>
        </w:tc>
        <w:tc>
          <w:tcPr>
            <w:tcW w:w="58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Borders>
              <w:bottom w:val="single" w:sz="8" w:color="CCEEFF"/>
            </w:tcBorders>
            <w:vMerge w:val="continue"/>
          </w:tcPr>
          <w:p>
            <w:pPr>
              <w:spacing w:after="0"/>
              <w:rPr>
                <w:sz w:val="12"/>
                <w:szCs w:val="12"/>
                <w:color w:val="auto"/>
              </w:rPr>
            </w:pPr>
          </w:p>
        </w:tc>
        <w:tc>
          <w:tcPr>
            <w:tcW w:w="17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 of vacation ownership products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492</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w w:val="85"/>
              </w:rPr>
              <w:t>(190)</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5"/>
              </w:rPr>
              <w:t>(248)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(247)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2"/>
        </w:trPr>
        <w:tc>
          <w:tcPr>
            <w:tcW w:w="4380" w:type="dxa"/>
            <w:vAlign w:val="bottom"/>
            <w:vMerge w:val="continue"/>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(8)</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Development margin percentage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(1.6)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decrease in revenues from the sale of vacation ownership products was due to the $16 million decrease in contract sales and an $8 million unfavorable change in the vacation ownership notes receivable reserve activity, partially offset by $16 million of higher revenue reportability in 2011 compared to the prior year. The $8 million unfavorable change in the reserve activity was mainly due to higher than estimated default and delinquency activity in 2011. The $16 million of higher revenue reportability resulted from $22 million of higher revenue reportability in 2011 compared to $6 million of higher revenue reportability in the prior year. Revenue reportability was impacted favorably in 2011 because certain 2010 financed sales did not meet the down payment requirement for revenue recognition purposes prior to the end of the period.</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decrease in development margin reflects $4 million from higher vacation ownership notes receivable reserve activity, a $4 million decrease from lower contract sales volume net of direct variable expenses (</w:t>
      </w:r>
      <w:r>
        <w:rPr>
          <w:rFonts w:ascii="Arial" w:cs="Arial" w:eastAsia="Arial" w:hAnsi="Arial"/>
          <w:sz w:val="18"/>
          <w:szCs w:val="18"/>
          <w:i w:val="1"/>
          <w:iCs w:val="1"/>
          <w:color w:val="auto"/>
        </w:rPr>
        <w:t>i.e.,</w:t>
      </w:r>
      <w:r>
        <w:rPr>
          <w:rFonts w:ascii="Arial" w:cs="Arial" w:eastAsia="Arial" w:hAnsi="Arial"/>
          <w:sz w:val="18"/>
          <w:szCs w:val="18"/>
          <w:color w:val="auto"/>
        </w:rPr>
        <w:t xml:space="preserve"> cost of vacation ownership products and marketing and sales), $4 million of unfavorable product cost true-ups ($0 product cost true-ups in 2011 compared to $4 million of favorable product cost true-ups in 2010), $3 million of charges in 2011, including $2 million of severance costs and $1 million of costs related to ADA compliance and Hurricane Irene damage at our resort in the Bahamas, and a $3 million favorable adjustment to the Marriott Rewards customer loyalty program in 2010. These decreases are partially offset by $8 million from higher revenue reportability and $2 million of severance costs in the prior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Fiscal Years</w:t>
            </w:r>
          </w:p>
        </w:tc>
        <w:tc>
          <w:tcPr>
            <w:tcW w:w="3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3"/>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62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7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6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vMerge w:val="continue"/>
            <w:shd w:val="clear" w:color="auto" w:fill="CCEEFF"/>
          </w:tcPr>
          <w:p>
            <w:pPr>
              <w:spacing w:after="0"/>
              <w:rPr>
                <w:sz w:val="18"/>
                <w:szCs w:val="18"/>
                <w:color w:val="auto"/>
              </w:rPr>
            </w:pPr>
          </w:p>
        </w:tc>
        <w:tc>
          <w:tcPr>
            <w:tcW w:w="1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142</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w:t>
            </w: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(145)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(142)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8"/>
                <w:szCs w:val="18"/>
                <w:color w:val="auto"/>
                <w:w w:val="97"/>
              </w:rPr>
              <w:t>Resort management and other services margin percentage</w:t>
            </w: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gridSpan w:val="2"/>
            <w:vMerge w:val="continue"/>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26.5%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21.4%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81"/>
              </w:rPr>
              <w:t>5.1 pts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20" w:type="dxa"/>
            <w:vAlign w:val="bottom"/>
          </w:tcPr>
          <w:p>
            <w:pPr>
              <w:jc w:val="right"/>
              <w:ind w:right="81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increase in resort management and other services revenues primarily reflects $7 million of additional annual club dues earned in connection with the MVCD program, $5 million of higher ancillary revenues from food and beverage and golf offerings, $3 million of higher management fees resulting from the cumulative increase in the number of vacation ownership products sold and higher operating costs across the system, and $1 million of higher resales revenues due to an increase in resales activity.</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improvement in resort management and other services margin reflects $7 million of additional annual club dues earned in connection with the MVCD program net of expenses and lower variable enrollment costs due to fewer enrollments in 2012 than in the prior year, a $3 million increase in management fees, $3 million of higher ancillary revenues net of expenses and $1 million of higher resales revenues net of expenses.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3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Management fee revenues</w:t>
            </w:r>
          </w:p>
        </w:tc>
        <w:tc>
          <w:tcPr>
            <w:tcW w:w="1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 services revenues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128</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125</w:t>
            </w: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revenues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175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Resort management and other services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w w:val="85"/>
              </w:rPr>
              <w:t>(142)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(149)</w:t>
            </w: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 margin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Resort management and other services margin percentage</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21.4%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14.9%</w:t>
            </w:r>
          </w:p>
        </w:tc>
        <w:tc>
          <w:tcPr>
            <w:tcW w:w="8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6.5 pts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increase in resort management and other services revenues primarily reflects $8 million of additional annual club dues earned in connection with the MVCD program, $3 million of higher ancillary revenues from food and beverage and golf offerings and $2 million of higher management fees resulting from the cumulative increase in the number of vacation ownership products sold and higher operating costs across the system. These increases were partially offset by $7 million of lower resales revenues due to a decrease in resales activity.</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improvement in resort management and other services margin reflects $6 million of additional annual club dues earned in connection with the MVCD program net of expenses, $4 million of higher ancillary revenues net of expenses and $2 million of higher management fees.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40" w:type="dxa"/>
            <w:vAlign w:val="bottom"/>
          </w:tcPr>
          <w:p>
            <w:pPr>
              <w:spacing w:after="0"/>
              <w:rPr>
                <w:sz w:val="14"/>
                <w:szCs w:val="14"/>
                <w:color w:val="auto"/>
              </w:rPr>
            </w:pPr>
          </w:p>
        </w:tc>
        <w:tc>
          <w:tcPr>
            <w:tcW w:w="1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w:t>
            </w:r>
          </w:p>
        </w:tc>
        <w:tc>
          <w:tcPr>
            <w:tcW w:w="3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w:t>
            </w: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Financing propensity</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42%</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decrease in financing revenues is primarily due to lower interest income from a lower outstanding vacation ownership notes receivable balance. This decline reflects our continued collection of existing vacation ownership notes receivable at a faster pace than our origination of new vacation ownership notes receivable.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440" w:type="dxa"/>
            <w:vAlign w:val="bottom"/>
          </w:tcPr>
          <w:p>
            <w:pPr>
              <w:spacing w:after="0"/>
              <w:rPr>
                <w:sz w:val="14"/>
                <w:szCs w:val="14"/>
                <w:color w:val="auto"/>
              </w:rPr>
            </w:pPr>
          </w:p>
        </w:tc>
        <w:tc>
          <w:tcPr>
            <w:tcW w:w="19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240" w:type="dxa"/>
            <w:vAlign w:val="bottom"/>
            <w:gridSpan w:val="2"/>
            <w:vMerge w:val="continue"/>
          </w:tcPr>
          <w:p>
            <w:pPr>
              <w:spacing w:after="0"/>
              <w:rPr>
                <w:sz w:val="12"/>
                <w:szCs w:val="12"/>
                <w:color w:val="auto"/>
              </w:rPr>
            </w:pPr>
          </w:p>
        </w:tc>
        <w:tc>
          <w:tcPr>
            <w:tcW w:w="24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vMerge w:val="continue"/>
            <w:shd w:val="clear" w:color="auto" w:fill="CCEEFF"/>
          </w:tcPr>
          <w:p>
            <w:pPr>
              <w:spacing w:after="0"/>
              <w:rPr>
                <w:sz w:val="18"/>
                <w:szCs w:val="18"/>
                <w:color w:val="auto"/>
              </w:rPr>
            </w:pPr>
          </w:p>
        </w:tc>
        <w:tc>
          <w:tcPr>
            <w:tcW w:w="24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$146</w:t>
            </w:r>
          </w:p>
        </w:tc>
        <w:tc>
          <w:tcPr>
            <w:tcW w:w="3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w:t>
            </w: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ind w:left="80"/>
              <w:spacing w:after="0"/>
              <w:rPr>
                <w:sz w:val="20"/>
                <w:szCs w:val="20"/>
                <w:color w:val="auto"/>
              </w:rPr>
            </w:pPr>
            <w:r>
              <w:rPr>
                <w:rFonts w:ascii="Arial" w:cs="Arial" w:eastAsia="Arial" w:hAnsi="Arial"/>
                <w:sz w:val="16"/>
                <w:szCs w:val="16"/>
                <w:color w:val="auto"/>
                <w:w w:val="77"/>
              </w:rPr>
              <w:t>(19)</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financing revenues</w:t>
            </w:r>
          </w:p>
        </w:tc>
        <w:tc>
          <w:tcPr>
            <w:tcW w:w="2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Financing revenues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Financing propensity</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44%</w:t>
            </w: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decrease in financing revenues is due to lower interest income from a lower outstanding vacation ownership notes receivable balance. This decline reflects our continued collection of existing vacation ownership notes receivable at a faster pace than our origination of new vacation ownership notes receivable.</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Fiscal Years</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58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line="20" w:lineRule="exact"/>
              <w:rPr>
                <w:sz w:val="1"/>
                <w:szCs w:val="1"/>
                <w:color w:val="auto"/>
              </w:rPr>
            </w:pPr>
          </w:p>
        </w:tc>
      </w:tr>
      <w:tr>
        <w:trPr>
          <w:trHeight w:val="222"/>
        </w:trPr>
        <w:tc>
          <w:tcPr>
            <w:tcW w:w="5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0.7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Fiscal Years</w:t>
            </w:r>
          </w:p>
        </w:tc>
        <w:tc>
          <w:tcPr>
            <w:tcW w:w="5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580" w:type="dxa"/>
            <w:vAlign w:val="bottom"/>
            <w:vMerge w:val="restart"/>
          </w:tcPr>
          <w:p>
            <w:pPr>
              <w:spacing w:after="0"/>
              <w:rPr>
                <w:sz w:val="24"/>
                <w:szCs w:val="2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Transient keys rented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874,927</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797,328</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77,599</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181.65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176.55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5.10</w:t>
            </w: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(0.3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increase in rental revenues is primarily due to $14 million from a 10 percent increase in transient keys rented, which were primarily sourced from an 8 percent increase in available keys (117,000 additional available keys) due to more owners choosing to exchange their vacation ownership interests for alternative usage options (primarily usage of our Explorer program), and nearly $5 million from a 3 percent increase in average transient rate driven by stronger consumer demand and mix of available inventory, partially offset by the recognition of $4 million of lower plus points revenue (which is recognized upon utilization of plus points for stays at our resorts or upon expiration of the points).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increase in rental margin reflects $17 million of higher rental revenues net of direct variable expenses (such as housekeeping) and expenses incurred due to owners choosing alternative usage options due to stronger rental demand and more effective monetization of the increased available keys. This increase was partially offset by a $7 million charge related to higher than expected costs in 2012 associated with the redemption of Marriott Rewards Points issued prior to the Spin-Off, the $4 million decrease in plus points revenue and $3 million of higher maintenance fees on unsold inventory.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Fiscal Years</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580" w:type="dxa"/>
            <w:vAlign w:val="bottom"/>
            <w:vMerge w:val="restart"/>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Rental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line="20" w:lineRule="exact"/>
              <w:rPr>
                <w:sz w:val="1"/>
                <w:szCs w:val="1"/>
                <w:color w:val="auto"/>
              </w:rPr>
            </w:pPr>
          </w:p>
        </w:tc>
      </w:tr>
      <w:tr>
        <w:trPr>
          <w:trHeight w:val="222"/>
        </w:trPr>
        <w:tc>
          <w:tcPr>
            <w:tcW w:w="57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4"/>
                <w:szCs w:val="14"/>
                <w:b w:val="1"/>
                <w:bCs w:val="1"/>
                <w:color w:val="auto"/>
              </w:rPr>
              <w:t>Fiscal Years</w:t>
            </w:r>
          </w:p>
        </w:tc>
        <w:tc>
          <w:tcPr>
            <w:tcW w:w="5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Change</w:t>
            </w:r>
          </w:p>
        </w:tc>
        <w:tc>
          <w:tcPr>
            <w:tcW w:w="580" w:type="dxa"/>
            <w:vAlign w:val="bottom"/>
            <w:vMerge w:val="restart"/>
          </w:tcPr>
          <w:p>
            <w:pPr>
              <w:spacing w:after="0"/>
              <w:rPr>
                <w:sz w:val="24"/>
                <w:szCs w:val="24"/>
                <w:color w:val="auto"/>
              </w:rPr>
            </w:pPr>
          </w:p>
        </w:tc>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88"/>
              </w:rPr>
              <w:t>% Change</w:t>
            </w:r>
          </w:p>
        </w:tc>
        <w:tc>
          <w:tcPr>
            <w:tcW w:w="2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580" w:type="dxa"/>
            <w:vAlign w:val="bottom"/>
            <w:tcBorders>
              <w:bottom w:val="single" w:sz="8" w:color="CCEEFF"/>
            </w:tcBorders>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Transient keys rented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797,328</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783,187</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14,141</w:t>
            </w:r>
          </w:p>
        </w:tc>
        <w:tc>
          <w:tcPr>
            <w:tcW w:w="5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Average transient key rate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176.55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175.19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1.36</w:t>
            </w:r>
          </w:p>
        </w:tc>
        <w:tc>
          <w:tcPr>
            <w:tcW w:w="5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Resort occupancy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(0.8 pts)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increase in rental revenues is due to the recognition of nearly $27 million of higher plus points revenue (which is recognized upon utilization of plus points for stays at our resorts or upon expiration of the points), more than $2 million from a 2 percent increase in transient keys rented, which were primarily sourced from a 5 percent increase in available keys (68,000 additional available keys) due to more owners choosing to exchange their vacation ownership interests for alternative usage options, and a nearly 1 percent increase in transient rate.</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The decrease in rental margin reflects $24 million of lower rental revenues net of higher direct variable expenses (such as housekeeping) and expenses incurred due to owners choosing alternative usage options, as well as a $12 million favorable adjustment to the Marriott Rewards customer loyalty program liability in 2010 resulting from lower than anticipated cost of redemptions of Marriott Rewards Points. Partially offsetting the decreases were the $27 million increase in plus points revenue, $3 million of lower maintenance fees on unsold inventory, and $1 million of lower subsidy costs.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Luxury</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w w:val="97"/>
              </w:rPr>
              <w:t>Fiscal Years</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8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Sale of vacation ownership products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880"/>
              <w:spacing w:after="0"/>
              <w:rPr>
                <w:sz w:val="20"/>
                <w:szCs w:val="20"/>
                <w:color w:val="auto"/>
              </w:rPr>
            </w:pPr>
            <w:r>
              <w:rPr>
                <w:rFonts w:ascii="Arial" w:cs="Arial" w:eastAsia="Arial" w:hAnsi="Arial"/>
                <w:sz w:val="18"/>
                <w:szCs w:val="18"/>
                <w:color w:val="auto"/>
              </w:rPr>
              <w:t>Total revenues</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20" w:type="dxa"/>
            <w:vAlign w:val="bottom"/>
            <w:vMerge w:val="continue"/>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114</w:t>
            </w:r>
          </w:p>
        </w:tc>
        <w:tc>
          <w:tcPr>
            <w:tcW w:w="1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Cost of vacation ownership products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sales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Resort management and other services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Litigation settlement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117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expenses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250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153</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440"/>
              <w:spacing w:after="0"/>
              <w:rPr>
                <w:sz w:val="20"/>
                <w:szCs w:val="20"/>
                <w:color w:val="auto"/>
              </w:rPr>
            </w:pPr>
            <w:r>
              <w:rPr>
                <w:rFonts w:ascii="Arial" w:cs="Arial" w:eastAsia="Arial" w:hAnsi="Arial"/>
                <w:sz w:val="18"/>
                <w:szCs w:val="18"/>
                <w:color w:val="auto"/>
              </w:rPr>
              <w:t>Gains and other income</w:t>
            </w:r>
          </w:p>
        </w:tc>
        <w:tc>
          <w:tcPr>
            <w:tcW w:w="1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vMerge w:val="continue"/>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7"/>
        </w:trPr>
        <w:tc>
          <w:tcPr>
            <w:tcW w:w="5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in losses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420" w:type="dxa"/>
            <w:vAlign w:val="bottom"/>
          </w:tcPr>
          <w:p>
            <w:pPr>
              <w:ind w:left="440"/>
              <w:spacing w:after="0"/>
              <w:rPr>
                <w:sz w:val="20"/>
                <w:szCs w:val="20"/>
                <w:color w:val="auto"/>
              </w:rPr>
            </w:pPr>
            <w:r>
              <w:rPr>
                <w:rFonts w:ascii="Arial" w:cs="Arial" w:eastAsia="Arial" w:hAnsi="Arial"/>
                <w:sz w:val="18"/>
                <w:szCs w:val="18"/>
                <w:color w:val="auto"/>
              </w:rPr>
              <w:t>Impairment reversals on equity investment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Segment financial results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5"/>
              </w:rPr>
              <w:t>(130)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significantly scaled back our development of Luxury vacation ownership products. We do not have any significant construction at any Luxury projects nor do we have any current plans for new development in this segment. We expect to continue to evaluate opportunities for bulk sales of excess Luxury inventory, as well as further opportunities to sell Luxury inventory as part of the MVCD program. Consistent with this strategy, inventory from one of our Luxury properties has been added to the MVCD program, and we intend to place most of our remaining Luxury inventory into the MVCD program over the next few years. We have also repositioned several Luxury sales centers to sell the MVCD points product. We believe this strategy will allow us to sell the inventory faster, thereby reducing our near term real estate inventory spending needs and accelerating the reduction of maintenance fees on unsold inventory. During 2012, we removed The Ritz-Carlton brand from one of our Luxury properties, The Abaco Club on Winding Bay in the Bahamas, after concluding that global economic conditions rendered the property unsustainable under the brand from a business perspective. Our plan, consistent with our overall strategy to sell excess Luxury inventory, is to pursue a bulk sale of the entire asset. In addition, subsequent to December 28, 2012 we terminated our management contract related to a luxury branded resort in Kapalua, Hawaii and we no longer manage this property.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ind w:left="14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3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300"/>
              <w:spacing w:after="0"/>
              <w:rPr>
                <w:sz w:val="20"/>
                <w:szCs w:val="20"/>
                <w:color w:val="auto"/>
              </w:rPr>
            </w:pPr>
            <w:r>
              <w:rPr>
                <w:rFonts w:ascii="Arial" w:cs="Arial" w:eastAsia="Arial" w:hAnsi="Arial"/>
                <w:sz w:val="18"/>
                <w:szCs w:val="18"/>
                <w:color w:val="auto"/>
              </w:rPr>
              <w:t>Total company-owned contract sales</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221"/>
        </w:trPr>
        <w:tc>
          <w:tcPr>
            <w:tcW w:w="54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(13)</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300" w:type="dxa"/>
            <w:vAlign w:val="bottom"/>
            <w:gridSpan w:val="3"/>
          </w:tcPr>
          <w:p>
            <w:pPr>
              <w:jc w:val="right"/>
              <w:ind w:right="5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w:t>
            </w: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300"/>
              <w:spacing w:after="0"/>
              <w:rPr>
                <w:sz w:val="20"/>
                <w:szCs w:val="20"/>
                <w:color w:val="auto"/>
              </w:rPr>
            </w:pPr>
            <w:r>
              <w:rPr>
                <w:rFonts w:ascii="Arial" w:cs="Arial" w:eastAsia="Arial" w:hAnsi="Arial"/>
                <w:sz w:val="18"/>
                <w:szCs w:val="18"/>
                <w:color w:val="auto"/>
              </w:rPr>
              <w:t>Total joint venture contract sales</w:t>
            </w:r>
          </w:p>
        </w:tc>
        <w:tc>
          <w:tcPr>
            <w:tcW w:w="1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5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decrease in contract sales in our Luxury segment reflects the strategy discussed above to sell Luxury inventory through our North America points program.</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40" w:type="dxa"/>
            <w:vAlign w:val="bottom"/>
          </w:tcPr>
          <w:p>
            <w:pPr>
              <w:spacing w:after="0"/>
              <w:rPr>
                <w:sz w:val="14"/>
                <w:szCs w:val="14"/>
                <w:color w:val="auto"/>
              </w:rPr>
            </w:pPr>
          </w:p>
        </w:tc>
        <w:tc>
          <w:tcPr>
            <w:tcW w:w="16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Fiscal Years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54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$ 20</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300"/>
              <w:spacing w:after="0"/>
              <w:rPr>
                <w:sz w:val="20"/>
                <w:szCs w:val="20"/>
                <w:color w:val="auto"/>
              </w:rPr>
            </w:pPr>
            <w:r>
              <w:rPr>
                <w:rFonts w:ascii="Arial" w:cs="Arial" w:eastAsia="Arial" w:hAnsi="Arial"/>
                <w:sz w:val="18"/>
                <w:szCs w:val="18"/>
                <w:color w:val="auto"/>
              </w:rPr>
              <w:t>Subtotal</w:t>
            </w:r>
          </w:p>
        </w:tc>
        <w:tc>
          <w:tcPr>
            <w:tcW w:w="1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 (allowance)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440" w:type="dxa"/>
            <w:vAlign w:val="bottom"/>
            <w:vMerge w:val="restart"/>
          </w:tcPr>
          <w:p>
            <w:pPr>
              <w:ind w:left="1300"/>
              <w:spacing w:after="0"/>
              <w:rPr>
                <w:sz w:val="20"/>
                <w:szCs w:val="20"/>
                <w:color w:val="auto"/>
              </w:rPr>
            </w:pPr>
            <w:r>
              <w:rPr>
                <w:rFonts w:ascii="Arial" w:cs="Arial" w:eastAsia="Arial" w:hAnsi="Arial"/>
                <w:sz w:val="18"/>
                <w:szCs w:val="18"/>
                <w:color w:val="auto"/>
              </w:rPr>
              <w:t>Total company-owned contract sales</w:t>
            </w:r>
          </w:p>
        </w:tc>
        <w:tc>
          <w:tcPr>
            <w:tcW w:w="1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221"/>
        </w:trPr>
        <w:tc>
          <w:tcPr>
            <w:tcW w:w="54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Joint Venture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 products</w:t>
            </w:r>
          </w:p>
        </w:tc>
        <w:tc>
          <w:tcPr>
            <w:tcW w:w="15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1300"/>
              <w:spacing w:after="0"/>
              <w:rPr>
                <w:sz w:val="20"/>
                <w:szCs w:val="20"/>
                <w:color w:val="auto"/>
              </w:rPr>
            </w:pPr>
            <w:r>
              <w:rPr>
                <w:rFonts w:ascii="Arial" w:cs="Arial" w:eastAsia="Arial" w:hAnsi="Arial"/>
                <w:sz w:val="18"/>
                <w:szCs w:val="18"/>
                <w:color w:val="auto"/>
              </w:rPr>
              <w:t>Subtotal</w:t>
            </w:r>
          </w:p>
        </w:tc>
        <w:tc>
          <w:tcPr>
            <w:tcW w:w="2080" w:type="dxa"/>
            <w:vAlign w:val="bottom"/>
            <w:gridSpan w:val="3"/>
          </w:tcPr>
          <w:p>
            <w:pPr>
              <w:jc w:val="right"/>
              <w:ind w:right="260"/>
              <w:spacing w:after="0"/>
              <w:rPr>
                <w:sz w:val="20"/>
                <w:szCs w:val="20"/>
                <w:color w:val="auto"/>
              </w:rPr>
            </w:pPr>
            <w:r>
              <w:rPr>
                <w:rFonts w:ascii="Arial" w:cs="Arial" w:eastAsia="Arial" w:hAnsi="Arial"/>
                <w:sz w:val="18"/>
                <w:szCs w:val="18"/>
                <w:color w:val="auto"/>
              </w:rPr>
              <w:t>18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Cancellation reversal (allowance)</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ind w:left="1300"/>
              <w:spacing w:after="0"/>
              <w:rPr>
                <w:sz w:val="20"/>
                <w:szCs w:val="20"/>
                <w:color w:val="auto"/>
              </w:rPr>
            </w:pPr>
            <w:r>
              <w:rPr>
                <w:rFonts w:ascii="Arial" w:cs="Arial" w:eastAsia="Arial" w:hAnsi="Arial"/>
                <w:sz w:val="18"/>
                <w:szCs w:val="18"/>
                <w:color w:val="auto"/>
              </w:rPr>
              <w:t>Total joint venture contract sales</w:t>
            </w:r>
          </w:p>
        </w:tc>
        <w:tc>
          <w:tcPr>
            <w:tcW w:w="1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544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2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decrease in gross contract sales (before cancellation allowances) was driven by lower sales of company owned residential and fractional products, as well as lower sales of joint venture fractional products, due to weakened demand for these products. This decline was partially offset by higher sales of joint venture residential products at one joint venture project resulting from pricing incentives we extended to encourage buyers to close on pending sales from prior years. Contract sales, net of cancellation allowances, increased to $39 million in 2011, reflecting a $24 million change in the cancellation allowances year-over-year.</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Pr>
          <w:p>
            <w:pPr>
              <w:spacing w:after="0"/>
              <w:rPr>
                <w:sz w:val="14"/>
                <w:szCs w:val="14"/>
                <w:color w:val="auto"/>
              </w:rPr>
            </w:pPr>
          </w:p>
        </w:tc>
        <w:tc>
          <w:tcPr>
            <w:tcW w:w="13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5"/>
              </w:rPr>
              <w:t>Fiscal Years</w:t>
            </w:r>
          </w:p>
        </w:tc>
        <w:tc>
          <w:tcPr>
            <w:tcW w:w="2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(8)</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decrease in revenues from the sale of vacation ownership products was due to a $12 million decline in gross company owned contract sales driven by our strategy to sell Luxury inventory through our North America points program in 2012, $10 million of higher vacation ownership notes receivable reserve activity due mainly to a favorable true-up recorded in 2011 for lower than estimated default and delinquency activity and $7 million related to lower revenue reportability.</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decline in development margin reflects $5 million from the unfavorable year-over-year change in the vacation ownership notes receivable reserve, $5 million of marketing and selling costs incurred as we finalized the closure of certain sales locations during the year, $1 million of severance costs incurred in the current year due to our decision to discontinue sales of Luxury inventory and a $1 million charge related to the settlement of a construction related dispute at one of our Luxury segment properties. These decreases were partially offset by $3 million of charges in the prior year, including $2 million of costs related to ADA compliance and Hurricane Irene damage at our resort in the Bahamas and $1 million of severance costs.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4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$ 20</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(15)</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(15)</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increase in revenues from the sale of vacation ownership products was due to a $20 million net favorable year-over-year change in vacation ownership notes receivable reserve activity from lower than estimated default and delinquency activity and $3 million related to favorable revenue reportability year-over-year, partially offset by $11 million of lower company-owned gross contract sales (before cancellation allowances).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improvement in development margin reflects $10 million from the favorable year-over-year change in the vacation ownership notes receivable reserve, a $5 million increase from lower contract sales volume net of direct variable expenses (</w:t>
      </w:r>
      <w:r>
        <w:rPr>
          <w:rFonts w:ascii="Arial" w:cs="Arial" w:eastAsia="Arial" w:hAnsi="Arial"/>
          <w:sz w:val="16"/>
          <w:szCs w:val="16"/>
          <w:i w:val="1"/>
          <w:iCs w:val="1"/>
          <w:color w:val="auto"/>
        </w:rPr>
        <w:t>i.e.,</w:t>
      </w:r>
      <w:r>
        <w:rPr>
          <w:rFonts w:ascii="Arial" w:cs="Arial" w:eastAsia="Arial" w:hAnsi="Arial"/>
          <w:sz w:val="16"/>
          <w:szCs w:val="16"/>
          <w:color w:val="auto"/>
        </w:rPr>
        <w:t xml:space="preserve"> cost of vacation ownership products and marketing and sales) mainly from a favorable mix of real estate inventory being sold, $1 million of severance charges in the prior year and $1 million from the favorable revenue reportability year-over-year. These increases were partially offset by $3 million of charges in 2011, including $2 million of costs related to ADA compliance and Hurricane Irene damage at our resort in the Bahamas and $1 million of severance costs.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hold a significant amount of developer inventory in the Luxury segment and as such, have a corresponding obligation to pay maintenance fees on the real estate interests we own. Given that vacation ownership interests in our Luxury segment often represent multiple weeks, as well as the upscale fit and finish and level of service required to meet Ritz-Carlton brand standards, maintenance fees in the Luxury segment are much higher than in our other segments. We mitigate the maintenance fee expense to the extent possible through open market rental and internal sales-related marketing programs; however, our opportunities are limited due to contractual and legal restrictions.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54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(11)</w:t>
            </w:r>
          </w:p>
        </w:tc>
        <w:tc>
          <w:tcPr>
            <w:tcW w:w="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(18)</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5</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NM</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NM</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NM</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The improvement in rental margin reflects $5 million of lower maintenance fees on unsold inventory and a nearly $1 million decrease in subsidy expenses, partially offset by $1 million of lower rental revenues net of direct variable expenses (such as housekeeping).</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Years</w:t>
            </w:r>
          </w:p>
        </w:tc>
        <w:tc>
          <w:tcPr>
            <w:tcW w:w="2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800" w:type="dxa"/>
            <w:vAlign w:val="bottom"/>
            <w:vMerge w:val="continue"/>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54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Rental revenues</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Unsold maintenance fees</w:t>
            </w: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(16)</w:t>
            </w:r>
          </w:p>
        </w:tc>
        <w:tc>
          <w:tcPr>
            <w:tcW w:w="10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Rental margin</w:t>
            </w: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Rental margin percentage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NM</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NM</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NM</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increase in rental revenues is due to an increase in available inventory to rent and higher rental demand for our properties, resulting in a 5 percent increase in transient keys rented (300 additional keys) and a 13 percent increase in transient rate achieved ($39 increase per key).</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improvement in rental margin reflects $3 million of lower subsidy expenses and $1 million of higher rental revenues net of direct variable expenses (such as housekeeping), partially offset by $3 million of higher maintenance fees on unsold inventory.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left="62"/>
              <w:spacing w:after="0"/>
              <w:rPr>
                <w:sz w:val="20"/>
                <w:szCs w:val="20"/>
                <w:color w:val="auto"/>
              </w:rPr>
            </w:pPr>
            <w:r>
              <w:rPr>
                <w:rFonts w:ascii="Arial" w:cs="Arial" w:eastAsia="Arial" w:hAnsi="Arial"/>
                <w:sz w:val="14"/>
                <w:szCs w:val="14"/>
                <w:b w:val="1"/>
                <w:bCs w:val="1"/>
                <w:color w:val="auto"/>
                <w:w w:val="85"/>
              </w:rPr>
              <w:t>Fiscal Years</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20" w:type="dxa"/>
            <w:vAlign w:val="bottom"/>
            <w:gridSpan w:val="3"/>
          </w:tcPr>
          <w:p>
            <w:pPr>
              <w:jc w:val="center"/>
              <w:ind w:left="362"/>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500" w:type="dxa"/>
            <w:vAlign w:val="bottom"/>
            <w:gridSpan w:val="3"/>
          </w:tcPr>
          <w:p>
            <w:pPr>
              <w:jc w:val="center"/>
              <w:ind w:left="59"/>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3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Sale of vacation ownership products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Resort management and other services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Financing</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reimbursements</w:t>
            </w:r>
          </w:p>
        </w:tc>
        <w:tc>
          <w:tcPr>
            <w:tcW w:w="3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880"/>
              <w:spacing w:after="0"/>
              <w:rPr>
                <w:sz w:val="20"/>
                <w:szCs w:val="20"/>
                <w:color w:val="auto"/>
              </w:rPr>
            </w:pPr>
            <w:r>
              <w:rPr>
                <w:rFonts w:ascii="Arial" w:cs="Arial" w:eastAsia="Arial" w:hAnsi="Arial"/>
                <w:sz w:val="18"/>
                <w:szCs w:val="18"/>
                <w:color w:val="auto"/>
              </w:rPr>
              <w:t>Total revenues</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121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3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Cost of vacation ownership products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Marketing and sales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Resort management and other services</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Other</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Royalty fee</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920" w:type="dxa"/>
            <w:vAlign w:val="bottom"/>
          </w:tcPr>
          <w:p>
            <w:pPr>
              <w:ind w:left="440"/>
              <w:spacing w:after="0"/>
              <w:rPr>
                <w:sz w:val="20"/>
                <w:szCs w:val="20"/>
                <w:color w:val="auto"/>
              </w:rPr>
            </w:pPr>
            <w:r>
              <w:rPr>
                <w:rFonts w:ascii="Arial" w:cs="Arial" w:eastAsia="Arial" w:hAnsi="Arial"/>
                <w:sz w:val="18"/>
                <w:szCs w:val="18"/>
                <w:color w:val="auto"/>
              </w:rPr>
              <w:t>Cost reimbursements</w:t>
            </w:r>
          </w:p>
        </w:tc>
        <w:tc>
          <w:tcPr>
            <w:tcW w:w="3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expenses</w:t>
            </w:r>
          </w:p>
        </w:tc>
        <w:tc>
          <w:tcPr>
            <w:tcW w:w="3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123</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920" w:type="dxa"/>
            <w:vAlign w:val="bottom"/>
          </w:tcPr>
          <w:p>
            <w:pPr>
              <w:ind w:left="880"/>
              <w:spacing w:after="0"/>
              <w:rPr>
                <w:sz w:val="20"/>
                <w:szCs w:val="20"/>
                <w:color w:val="auto"/>
              </w:rPr>
            </w:pPr>
            <w:r>
              <w:rPr>
                <w:rFonts w:ascii="Arial" w:cs="Arial" w:eastAsia="Arial" w:hAnsi="Arial"/>
                <w:sz w:val="18"/>
                <w:szCs w:val="18"/>
                <w:color w:val="auto"/>
              </w:rPr>
              <w:t>Segment financial results</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580" w:type="dxa"/>
            <w:vAlign w:val="bottom"/>
            <w:vMerge w:val="restart"/>
          </w:tcPr>
          <w:p>
            <w:pPr>
              <w:jc w:val="right"/>
              <w:ind w:right="2532"/>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Fiscal Years</w:t>
            </w:r>
          </w:p>
        </w:tc>
        <w:tc>
          <w:tcPr>
            <w:tcW w:w="5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7020" w:type="dxa"/>
            <w:vAlign w:val="bottom"/>
            <w:vMerge w:val="continue"/>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w:t>
            </w: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w:t>
            </w:r>
          </w:p>
        </w:tc>
        <w:tc>
          <w:tcPr>
            <w:tcW w:w="7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2"/>
            <w:vMerge w:val="restart"/>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13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7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8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w:t>
            </w:r>
          </w:p>
        </w:tc>
        <w:tc>
          <w:tcPr>
            <w:tcW w:w="52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w:t>
            </w:r>
          </w:p>
        </w:tc>
        <w:tc>
          <w:tcPr>
            <w:tcW w:w="300" w:type="dxa"/>
            <w:vAlign w:val="bottom"/>
          </w:tcPr>
          <w:p>
            <w:pPr>
              <w:spacing w:after="0"/>
              <w:rPr>
                <w:sz w:val="18"/>
                <w:szCs w:val="18"/>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w:t>
            </w:r>
          </w:p>
        </w:tc>
        <w:tc>
          <w:tcPr>
            <w:tcW w:w="520" w:type="dxa"/>
            <w:vAlign w:val="bottom"/>
            <w:gridSpan w:val="2"/>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Development Margin</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32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320" w:type="dxa"/>
            <w:vAlign w:val="bottom"/>
            <w:gridSpan w:val="2"/>
          </w:tcPr>
          <w:p>
            <w:pPr>
              <w:ind w:left="460"/>
              <w:spacing w:after="0"/>
              <w:rPr>
                <w:sz w:val="20"/>
                <w:szCs w:val="20"/>
                <w:color w:val="auto"/>
              </w:rPr>
            </w:pPr>
            <w:r>
              <w:rPr>
                <w:rFonts w:ascii="Arial" w:cs="Arial" w:eastAsia="Arial" w:hAnsi="Arial"/>
                <w:sz w:val="18"/>
                <w:szCs w:val="18"/>
                <w:i w:val="1"/>
                <w:iCs w:val="1"/>
                <w:color w:val="auto"/>
              </w:rPr>
              <w:t>2012 Compared to 2011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vMerge w:val="restart"/>
          </w:tcPr>
          <w:p>
            <w:pPr>
              <w:spacing w:after="0"/>
              <w:rPr>
                <w:sz w:val="24"/>
                <w:szCs w:val="24"/>
                <w:color w:val="auto"/>
              </w:rPr>
            </w:pPr>
          </w:p>
        </w:tc>
        <w:tc>
          <w:tcPr>
            <w:tcW w:w="6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24"/>
                <w:szCs w:val="24"/>
                <w:color w:val="auto"/>
              </w:rPr>
            </w:pPr>
          </w:p>
        </w:tc>
        <w:tc>
          <w:tcPr>
            <w:tcW w:w="13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5"/>
              </w:rPr>
              <w:t>Fiscal Years</w:t>
            </w:r>
          </w:p>
        </w:tc>
        <w:tc>
          <w:tcPr>
            <w:tcW w:w="240" w:type="dxa"/>
            <w:vAlign w:val="bottom"/>
          </w:tcPr>
          <w:p>
            <w:pPr>
              <w:spacing w:after="0"/>
              <w:rPr>
                <w:sz w:val="24"/>
                <w:szCs w:val="2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460" w:type="dxa"/>
            <w:vAlign w:val="bottom"/>
            <w:vMerge w:val="continue"/>
          </w:tcPr>
          <w:p>
            <w:pPr>
              <w:spacing w:after="0"/>
              <w:rPr>
                <w:sz w:val="12"/>
                <w:szCs w:val="12"/>
                <w:color w:val="auto"/>
              </w:rPr>
            </w:pPr>
          </w:p>
        </w:tc>
        <w:tc>
          <w:tcPr>
            <w:tcW w:w="6860" w:type="dxa"/>
            <w:vAlign w:val="bottom"/>
            <w:vMerge w:val="continue"/>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860" w:type="dxa"/>
            <w:vAlign w:val="bottom"/>
            <w:vMerge w:val="continue"/>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$ 41</w:t>
            </w:r>
          </w:p>
        </w:tc>
        <w:tc>
          <w:tcPr>
            <w:tcW w:w="8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$ 51</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100" w:type="dxa"/>
            <w:vAlign w:val="bottom"/>
            <w:gridSpan w:val="4"/>
          </w:tcPr>
          <w:p>
            <w:pPr>
              <w:jc w:val="right"/>
              <w:ind w:right="24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4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11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ind w:left="460"/>
              <w:spacing w:after="0"/>
              <w:rPr>
                <w:sz w:val="20"/>
                <w:szCs w:val="20"/>
                <w:color w:val="auto"/>
              </w:rPr>
            </w:pPr>
            <w:r>
              <w:rPr>
                <w:rFonts w:ascii="Arial" w:cs="Arial" w:eastAsia="Arial" w:hAnsi="Arial"/>
                <w:sz w:val="18"/>
                <w:szCs w:val="18"/>
                <w:color w:val="auto"/>
              </w:rPr>
              <w:t>Development margin</w:t>
            </w: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line="20" w:lineRule="exact"/>
              <w:rPr>
                <w:sz w:val="1"/>
                <w:szCs w:val="1"/>
                <w:color w:val="auto"/>
              </w:rPr>
            </w:pPr>
          </w:p>
        </w:tc>
      </w:tr>
      <w:tr>
        <w:trPr>
          <w:trHeight w:val="222"/>
        </w:trPr>
        <w:tc>
          <w:tcPr>
            <w:tcW w:w="7320" w:type="dxa"/>
            <w:vAlign w:val="bottom"/>
            <w:gridSpan w:val="2"/>
            <w:vMerge w:val="continue"/>
          </w:tcPr>
          <w:p>
            <w:pPr>
              <w:spacing w:after="0"/>
              <w:rPr>
                <w:sz w:val="19"/>
                <w:szCs w:val="19"/>
                <w:color w:val="auto"/>
              </w:rPr>
            </w:pPr>
          </w:p>
        </w:tc>
        <w:tc>
          <w:tcPr>
            <w:tcW w:w="360" w:type="dxa"/>
            <w:vAlign w:val="bottom"/>
            <w:gridSpan w:val="2"/>
          </w:tcPr>
          <w:p>
            <w:pPr>
              <w:jc w:val="right"/>
              <w:ind w:right="4"/>
              <w:spacing w:after="0"/>
              <w:rPr>
                <w:sz w:val="20"/>
                <w:szCs w:val="20"/>
                <w:color w:val="auto"/>
              </w:rPr>
            </w:pPr>
            <w:r>
              <w:rPr>
                <w:rFonts w:ascii="Arial" w:cs="Arial" w:eastAsia="Arial" w:hAnsi="Arial"/>
                <w:sz w:val="18"/>
                <w:szCs w:val="18"/>
                <w:color w:val="auto"/>
                <w:w w:val="92"/>
              </w:rPr>
              <w:t>$—</w:t>
            </w:r>
          </w:p>
        </w:tc>
        <w:tc>
          <w:tcPr>
            <w:tcW w:w="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4</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(4)</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development margin decline is due to $5 million from lower sales volume net of direct variable expenses (</w:t>
      </w:r>
      <w:r>
        <w:rPr>
          <w:rFonts w:ascii="Arial" w:cs="Arial" w:eastAsia="Arial" w:hAnsi="Arial"/>
          <w:sz w:val="16"/>
          <w:szCs w:val="16"/>
          <w:i w:val="1"/>
          <w:iCs w:val="1"/>
          <w:color w:val="auto"/>
        </w:rPr>
        <w:t>i.e.,</w:t>
      </w:r>
      <w:r>
        <w:rPr>
          <w:rFonts w:ascii="Arial" w:cs="Arial" w:eastAsia="Arial" w:hAnsi="Arial"/>
          <w:sz w:val="16"/>
          <w:szCs w:val="16"/>
          <w:color w:val="auto"/>
        </w:rPr>
        <w:t xml:space="preserve"> cost of vacation ownership products and marketing and sales), $1 million of higher vacation ownership notes receivable reserve activity and $1 million of severance in 2012 as a result of eliminating positions at a regional call center. These declines are partially offset by $3 million of legal related costs in 2011.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development margin decline is due to $2 million from the lower sales volume net of direct variable expenses (i.e., cost of vacation ownership products and marketing and sales) and $3 million of legal related costs in 2011, partially offset by $2 million of favorable product cost true-ups in 2011 compared to $0 product cost true-ups in the prior year.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2"/>
        </w:trPr>
        <w:tc>
          <w:tcPr>
            <w:tcW w:w="8400" w:type="dxa"/>
            <w:vAlign w:val="bottom"/>
            <w:gridSpan w:val="3"/>
          </w:tcPr>
          <w:p>
            <w:pPr>
              <w:ind w:left="460"/>
              <w:spacing w:after="0"/>
              <w:rPr>
                <w:sz w:val="20"/>
                <w:szCs w:val="20"/>
                <w:color w:val="auto"/>
              </w:rPr>
            </w:pPr>
            <w:r>
              <w:rPr>
                <w:rFonts w:ascii="Arial" w:cs="Arial" w:eastAsia="Arial" w:hAnsi="Arial"/>
                <w:sz w:val="18"/>
                <w:szCs w:val="18"/>
                <w:b w:val="1"/>
                <w:bCs w:val="1"/>
                <w:i w:val="1"/>
                <w:iCs w:val="1"/>
                <w:color w:val="auto"/>
              </w:rPr>
              <w:t>Asia Pacific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920" w:type="dxa"/>
            <w:vAlign w:val="bottom"/>
          </w:tcPr>
          <w:p>
            <w:pPr>
              <w:spacing w:after="0"/>
              <w:rPr>
                <w:sz w:val="24"/>
                <w:szCs w:val="24"/>
                <w:color w:val="auto"/>
              </w:rPr>
            </w:pPr>
          </w:p>
        </w:tc>
        <w:tc>
          <w:tcPr>
            <w:tcW w:w="7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3"/>
              </w:rPr>
              <w:t>Fiscal Years</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800" w:type="dxa"/>
            <w:vAlign w:val="bottom"/>
            <w:gridSpan w:val="3"/>
          </w:tcPr>
          <w:p>
            <w:pPr>
              <w:jc w:val="center"/>
              <w:ind w:left="362"/>
              <w:spacing w:after="0" w:line="142" w:lineRule="exact"/>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r>
      <w:tr>
        <w:trPr>
          <w:trHeight w:val="196"/>
        </w:trPr>
        <w:tc>
          <w:tcPr>
            <w:tcW w:w="920" w:type="dxa"/>
            <w:vAlign w:val="bottom"/>
          </w:tcPr>
          <w:p>
            <w:pPr>
              <w:spacing w:after="0"/>
              <w:rPr>
                <w:sz w:val="17"/>
                <w:szCs w:val="17"/>
                <w:color w:val="auto"/>
              </w:rPr>
            </w:pPr>
          </w:p>
        </w:tc>
        <w:tc>
          <w:tcPr>
            <w:tcW w:w="74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Sale of vacation ownership products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Financing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Resort management and other services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Rental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Royalty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23"/>
        </w:trPr>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 reimbursements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Gains and other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7"/>
        </w:trPr>
        <w:tc>
          <w:tcPr>
            <w:tcW w:w="9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40" w:type="dxa"/>
            <w:vAlign w:val="bottom"/>
          </w:tcPr>
          <w:p>
            <w:pPr>
              <w:ind w:left="440"/>
              <w:spacing w:after="0"/>
              <w:rPr>
                <w:sz w:val="20"/>
                <w:szCs w:val="20"/>
                <w:color w:val="auto"/>
              </w:rPr>
            </w:pPr>
            <w:r>
              <w:rPr>
                <w:rFonts w:ascii="Arial" w:cs="Arial" w:eastAsia="Arial" w:hAnsi="Arial"/>
                <w:sz w:val="18"/>
                <w:szCs w:val="18"/>
                <w:color w:val="auto"/>
              </w:rPr>
              <w:t>Segment financial results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r>
      <w:tr>
        <w:trPr>
          <w:trHeight w:val="20"/>
        </w:trPr>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our Asia Pacific segment, we continue to identify opportunities for development margin improvement and, as a result, we decided in the fourth quarter of 2012 to close our off-site sales locations in Hong Kong and Japan. Our on-site sales locations have proven to be more efficient sales channels than our off-site sales locations. We plan to focus on future inventory acquisitions with potential for high volume on-site sales. The total costs associated with closing these off-site sales locations were approximately $4 million in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Fiscal Years</w:t>
            </w:r>
          </w:p>
        </w:tc>
        <w:tc>
          <w:tcPr>
            <w:tcW w:w="5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7020" w:type="dxa"/>
            <w:vAlign w:val="bottom"/>
            <w:vMerge w:val="continue"/>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w:t>
            </w:r>
          </w:p>
        </w:tc>
        <w:tc>
          <w:tcPr>
            <w:tcW w:w="5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w:t>
            </w:r>
          </w:p>
        </w:tc>
        <w:tc>
          <w:tcPr>
            <w:tcW w:w="6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57</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70</w:t>
            </w:r>
          </w:p>
        </w:tc>
        <w:tc>
          <w:tcPr>
            <w:tcW w:w="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decline in contract sales reflects the impact of 23 percent fewer tours as a result of closing off-site sales locations in Hong Kong and Japan in the fourth quarter of 2012, partially offset by a $124 increase in VPG.</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400" w:type="dxa"/>
            <w:vAlign w:val="bottom"/>
          </w:tcPr>
          <w:p>
            <w:pPr>
              <w:spacing w:after="0"/>
              <w:rPr>
                <w:sz w:val="14"/>
                <w:szCs w:val="14"/>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Fiscal Years</w:t>
            </w:r>
          </w:p>
        </w:tc>
        <w:tc>
          <w:tcPr>
            <w:tcW w:w="520" w:type="dxa"/>
            <w:vAlign w:val="bottom"/>
          </w:tcPr>
          <w:p>
            <w:pPr>
              <w:spacing w:after="0"/>
              <w:rPr>
                <w:sz w:val="14"/>
                <w:szCs w:val="14"/>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Change</w:t>
            </w:r>
          </w:p>
        </w:tc>
        <w:tc>
          <w:tcPr>
            <w:tcW w:w="52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340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Company-Owned</w:t>
            </w:r>
          </w:p>
        </w:tc>
        <w:tc>
          <w:tcPr>
            <w:tcW w:w="3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880"/>
              <w:spacing w:after="0"/>
              <w:rPr>
                <w:sz w:val="20"/>
                <w:szCs w:val="20"/>
                <w:color w:val="auto"/>
              </w:rPr>
            </w:pPr>
            <w:r>
              <w:rPr>
                <w:rFonts w:ascii="Arial" w:cs="Arial" w:eastAsia="Arial" w:hAnsi="Arial"/>
                <w:sz w:val="18"/>
                <w:szCs w:val="18"/>
                <w:color w:val="auto"/>
              </w:rPr>
              <w:t>Vacation ownership</w:t>
            </w:r>
          </w:p>
        </w:tc>
        <w:tc>
          <w:tcPr>
            <w:tcW w:w="3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w:t>
            </w:r>
          </w:p>
        </w:tc>
        <w:tc>
          <w:tcPr>
            <w:tcW w:w="7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contract sales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400" w:type="dxa"/>
            <w:vAlign w:val="bottom"/>
            <w:vMerge w:val="restart"/>
          </w:tcPr>
          <w:p>
            <w:pPr>
              <w:jc w:val="right"/>
              <w:ind w:right="1692"/>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increase in contract sales reflects the impact of a $354 increase in VPG, partially offset by 13 percent fewer tours compared to the prior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development margin decline is due to $4 million of charges related to the closure of our off-site sales locations in late 2012, partially offset by $2 million of favorable product cost true-ups and $1 million from the lower sales volume net of direct variable expenses (</w:t>
      </w:r>
      <w:r>
        <w:rPr>
          <w:rFonts w:ascii="Arial" w:cs="Arial" w:eastAsia="Arial" w:hAnsi="Arial"/>
          <w:sz w:val="16"/>
          <w:szCs w:val="16"/>
          <w:i w:val="1"/>
          <w:iCs w:val="1"/>
          <w:color w:val="auto"/>
        </w:rPr>
        <w:t>i.e.,</w:t>
      </w:r>
      <w:r>
        <w:rPr>
          <w:rFonts w:ascii="Arial" w:cs="Arial" w:eastAsia="Arial" w:hAnsi="Arial"/>
          <w:sz w:val="16"/>
          <w:szCs w:val="16"/>
          <w:color w:val="auto"/>
        </w:rPr>
        <w:t xml:space="preserve"> cost of vacation ownership products and marketing and sales) as a result of closing the less efficient off-site sales locations in Hong Kong and Japan. The favorable product cost true-up activity includes nearly $2 million of favorable product cost true-ups in 2012 and less than $1 million of unfavorable product cost true-ups in the prior year.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Fiscal Years</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142"/>
        </w:trPr>
        <w:tc>
          <w:tcPr>
            <w:tcW w:w="6880" w:type="dxa"/>
            <w:vAlign w:val="bottom"/>
            <w:vMerge w:val="continue"/>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Sale of vacation ownership products</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Cost of vacation ownership products</w:t>
            </w: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8"/>
                <w:szCs w:val="18"/>
                <w:color w:val="auto"/>
              </w:rPr>
              <w:t>Development margin</w:t>
            </w: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line="20" w:lineRule="exact"/>
              <w:rPr>
                <w:sz w:val="1"/>
                <w:szCs w:val="1"/>
                <w:color w:val="auto"/>
              </w:rPr>
            </w:pPr>
          </w:p>
        </w:tc>
      </w:tr>
      <w:tr>
        <w:trPr>
          <w:trHeight w:val="222"/>
        </w:trPr>
        <w:tc>
          <w:tcPr>
            <w:tcW w:w="68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Development margin for 2011 was in line with 2010 reflecting $2 million of higher sales volume net of direct variable expenses (</w:t>
      </w:r>
      <w:r>
        <w:rPr>
          <w:rFonts w:ascii="Arial" w:cs="Arial" w:eastAsia="Arial" w:hAnsi="Arial"/>
          <w:sz w:val="16"/>
          <w:szCs w:val="16"/>
          <w:i w:val="1"/>
          <w:iCs w:val="1"/>
          <w:color w:val="auto"/>
        </w:rPr>
        <w:t>i.e.,</w:t>
      </w:r>
      <w:r>
        <w:rPr>
          <w:rFonts w:ascii="Arial" w:cs="Arial" w:eastAsia="Arial" w:hAnsi="Arial"/>
          <w:sz w:val="16"/>
          <w:szCs w:val="16"/>
          <w:color w:val="auto"/>
        </w:rPr>
        <w:t xml:space="preserve"> cost of vacation ownership products and marketing and sales), offset by $2 million of unfavorable product cost true-up activity. The unfavorable product cost true-up activity includes less than $1 million of unfavorable product cost true-ups in 2011 and $1 million of favorable product cost true-ups in the prior year.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1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Fiscal Years</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vMerge w:val="continue"/>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640" w:type="dxa"/>
            <w:vAlign w:val="bottom"/>
            <w:gridSpan w:val="3"/>
          </w:tcPr>
          <w:p>
            <w:pPr>
              <w:jc w:val="center"/>
              <w:ind w:left="186"/>
              <w:spacing w:after="0" w:line="142" w:lineRule="exact"/>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2"/>
                <w:szCs w:val="12"/>
                <w:color w:val="auto"/>
              </w:rPr>
            </w:pPr>
          </w:p>
        </w:tc>
        <w:tc>
          <w:tcPr>
            <w:tcW w:w="460" w:type="dxa"/>
            <w:vAlign w:val="bottom"/>
            <w:gridSpan w:val="3"/>
          </w:tcPr>
          <w:p>
            <w:pPr>
              <w:jc w:val="center"/>
              <w:ind w:left="22"/>
              <w:spacing w:after="0" w:line="142" w:lineRule="exact"/>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vacation ownership products</w:t>
            </w:r>
          </w:p>
        </w:tc>
        <w:tc>
          <w:tcPr>
            <w:tcW w:w="2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Financing</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Organizational and separation related</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Interest</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Royalty fee</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5140" w:type="dxa"/>
            <w:vAlign w:val="bottom"/>
          </w:tcPr>
          <w:p>
            <w:pPr>
              <w:spacing w:after="0"/>
              <w:rPr>
                <w:sz w:val="20"/>
                <w:szCs w:val="20"/>
                <w:color w:val="auto"/>
              </w:rPr>
            </w:pPr>
            <w:r>
              <w:rPr>
                <w:rFonts w:ascii="Arial" w:cs="Arial" w:eastAsia="Arial" w:hAnsi="Arial"/>
                <w:sz w:val="18"/>
                <w:szCs w:val="18"/>
                <w:color w:val="auto"/>
              </w:rPr>
              <w:t>Impairment</w:t>
            </w:r>
          </w:p>
        </w:tc>
        <w:tc>
          <w:tcPr>
            <w:tcW w:w="2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234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Corporate and Other captures information not specifically identifiable to an individual segment, including expenses in support of our financing operations, non-capitalizable development expenses supporting overall company development, company-wide general and administrative costs, the fixed royalty fee payable under the License Agreements and interest expense.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Compared to 2011</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 expenses decreased $128 million over the prior year. The $128 million decrease was the result of $205 million of impairment charges in the prior year and $2 million of lower financing expenses, partially offset by $46 million of higher royalty fees in 2012, $15 million of organizational and separation related costs incurred in 2012, $11 million of higher interest expense, $6 million of higher general and administrative expenses and $1 million of higher cost of vacation ownership products due to higher non-capitalizable development costs.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$6 million increase in general and administrative expenses was due to $5 million of incremental stand-alone public company costs and $1 million of higher personnel related costs ($4 million of higher bonus costs and merits offset partially by cost savings).</w:t>
      </w:r>
    </w:p>
    <w:p>
      <w:pPr>
        <w:spacing w:after="0" w:line="132"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$11 million increase in interest expense was due to $17 million of higher non-consumer financing interest expense, offset partially by $6 million of lower consumer financing interest expense. The higher non-consumer financing interest expense primarily includes $8 million of expense associated with the liability for the Marriott Rewards customer loyalty program under the Marriott Rewards Agreement, $4 million of higher dividends associated with the preferred stock issued in connection with the Spin-Off, $3 million of lower capitalized interest costs, and $2 million of amortized costs associated with the Revolving Corporate Credit Facility. The lower consumer financing interest expense reflects lower outstanding debt balances and associated interest costs related to the securitized vacation ownership notes receivable, partially offset by interest expense and amortized costs associated with the Warehouse Credit Facility.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Total expenses increased $197 million over the prior year. The increase in expenses was driven by $205 million of impairment charges related mainly to undeveloped land and internally developed software, $4 million of royalty fees in the fourth quarter of 2011 payable under the License Agreements and $2 million of higher financing expenses due to higher technology and foreclosure costs. These increases were partially offset by $9 million of lower interest expense due to the repayment of bonds related to our securitized notes receivable and $4 million of lower other expenses primarily consisting of the favorable true-up of the 2010 bonus accrual as a result of final payouts in the first quarter of 2011, and $1 million of lower cost of vacation ownership products due to lower non-capitalizable development costs. See further discussion of the impairment charges above and in Footnote No. 16, “Impairment Charges,” of the Notes to our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Footnote No. 1, “Summary of Significant Accounting Policies,” of the Notes to our Financial Statements for information related to our adoption of new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capital needs are supported by cash on hand ($103 million at the end of 2012), cash generated from operations, our ability to raise capital through securitizations in the ABS market, and to the extent necessary, funds available under the Warehouse Credit Facility and the Revolving Corporate Credit Facility. We believe these sources will be adequate to meet our short-term and long-term liquidity requirements, finance our long-term growth plans, satisfy debt service requirements, and fulfill other cash requirements. At the end of 2012, $674 million of the $678 million of total debt outstanding is non-recourse debt associated with secured vacation ownership notes receivable. In addition, we have $40 million of mandatorily redeemable preferred stock of a consolidated subsidiary that we are not required to redeem until October 2021; however we may redeem the preferred stock after October 2016 at our option.</w:t>
      </w:r>
    </w:p>
    <w:p>
      <w:pPr>
        <w:spacing w:after="0" w:line="120" w:lineRule="exact"/>
        <w:rPr>
          <w:sz w:val="20"/>
          <w:szCs w:val="20"/>
          <w:color w:val="auto"/>
        </w:rPr>
      </w:pPr>
    </w:p>
    <w:p>
      <w:pPr>
        <w:ind w:right="240" w:firstLine="456"/>
        <w:spacing w:after="0" w:line="287" w:lineRule="auto"/>
        <w:rPr>
          <w:sz w:val="20"/>
          <w:szCs w:val="20"/>
          <w:color w:val="auto"/>
        </w:rPr>
      </w:pPr>
      <w:r>
        <w:rPr>
          <w:rFonts w:ascii="Arial" w:cs="Arial" w:eastAsia="Arial" w:hAnsi="Arial"/>
          <w:sz w:val="16"/>
          <w:szCs w:val="16"/>
          <w:color w:val="auto"/>
        </w:rPr>
        <w:t>We have sufficient real estate inventory to meet expected demand for our vacation ownership products for the next several years. At the end of 2012, we had $874 million of real estate inventory on hand, comprised of $484 million of finished goods, $120 million of work-in-process, and $270 million of land and infrastructure. Our vacation ownership product offerings also allow us to more efficiently utilize our real estate inventory. The majority of our sales are of a points-based product, which permits us to sell vacation ownership products at most of our sales locations, including those where little or no weeks-based inventory remains available for sale. Because we no longer need specific resort-based inventory at each sales location, we expect to have fewer resorts under construction at any given time and expect to better leverage successful sales locations at completed resorts. We expect that this will allow us to maintain long-term sales locations and minimize the need to develop and staff on-site sales locations at smaller projects in the future. We believe these points-based programs better position us to align our construction of real estate inventory with the pace of sales of vacation ownership products by slowing down or accelerating construction, as demand across our portfolio and market conditions dictate. As a result, we expect our real estate inventory spending (discussed below) will be less than or in line with cost of sales for the near term.</w:t>
      </w:r>
    </w:p>
    <w:p>
      <w:pPr>
        <w:spacing w:after="0" w:line="12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also expect to continue selling excess luxury inventory and dispose of undeveloped land over the next few years, as well as to sell most of our remaining Luxury inventory through the MVCD program over the next few years, in order to generate incremental cash and reduce related carrying costs. In 2012, we completed the sale of the golf course, clubhouse and spa formerly known as The Ritz-Carlton Golf Club and Spa, Jupiter, classified within our Luxury segment, for $34 million, including $5 million of cash and the assumption by the purchaser of liabilities with a book value of $29 million. We also recorded a net gain of $8 million related to this disposition.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During 2012, 2011 and 2010, we had net changes in cash and cash equivalents of ($7) million, $84 million and ($6) million, respectively, including distributions to Marriott International of $64 million and $264 million, in 2011 and 2010, respectively. The following table summarizes such changes: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163</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distribution to Marriott International</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(264)</w:t>
            </w:r>
          </w:p>
        </w:tc>
        <w:tc>
          <w:tcPr>
            <w:tcW w:w="0" w:type="dxa"/>
            <w:vAlign w:val="bottom"/>
          </w:tcPr>
          <w:p>
            <w:pPr>
              <w:spacing w:after="0"/>
              <w:rPr>
                <w:sz w:val="1"/>
                <w:szCs w:val="1"/>
                <w:color w:val="auto"/>
              </w:rPr>
            </w:pP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(160)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Effect of change in exchange rates on cash and cash equivalents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880"/>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84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In 2012, we generated $163 million of cash flows from operating activities, compared to $321 million in 2011 and $379 million in 2010. Our primary sources of funds from operations are (1) cash sales and down payments on financed sales, (2) cash from our financing operations, including principal and interest payments received on outstanding notes receivables and (3) net cash generated from our rental and resort management and other services operations. Outflows include spending for the development of new phases of existing resorts or turnkey purchases of new inventory as well as funding our working capital needs.</w:t>
      </w:r>
    </w:p>
    <w:p>
      <w:pPr>
        <w:spacing w:after="0" w:line="9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Cash from operating activities in 2012 was also impacted by items that arose from the Spin-Off from Marriott International. In 2012 we paid cash taxes to taxing authorities of approximately $68 million, nearly $50 million for royalty fees under the Licensing Agreements, $20 million in final settlement of expenses associated with the Spin-Off, nearly $20 million of higher net cash payments for Marriott Rewards Points and approximately $15 million of costs associated with our organizational and separation related efforts. As a result of the significant deferred tax liabilities established at the time of the Spin-Off, for the near term we expect cash taxes to be in excess of our income tax expense.</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minimize working capital needs through cash management, strict credit-granting policies, and disciplined collection efforts. We have greater working capital cash needs in the first half of each year, given the timing of annual maintenance fees on unsold inventory we pay to property owners’ associations and certain annual compensation related outflows. In addition, our cash from operations varies due to the timing of our owners’ repayment of vacation ownership notes receivable, the closing of sales contracts for vacation ownership products, the rate at which owners finance their vacation ownership purchase with us and cash outlays for real estate inventory development.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addition to net income (loss) and adjustments for non-cash items, the following operating activities are key drivers of our cash flow from operating activities: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inventory spending less than cost of sales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5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Real estate inventory spending</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(120)</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$(120)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188</w:t>
            </w:r>
          </w:p>
        </w:tc>
        <w:tc>
          <w:tcPr>
            <w:tcW w:w="4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r>
      <w:tr>
        <w:trPr>
          <w:trHeight w:val="216"/>
        </w:trPr>
        <w:tc>
          <w:tcPr>
            <w:tcW w:w="5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inventory spending less than cost of sales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0"/>
        </w:trPr>
        <w:tc>
          <w:tcPr>
            <w:tcW w:w="5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in our Statements of Operations related to sales of vacation ownership products (a non-cash item).</w:t>
      </w:r>
    </w:p>
    <w:p>
      <w:pPr>
        <w:spacing w:after="0" w:line="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Given the significant level of completed real estate inventory on hand, as well as the capital efficiency resulting from our MVCD program, our spending for real estate inventory remained below the amount of real estate inventory costs in each of the fiscal years 2012, 2011 and 2010. We expect our real estate inventory spending to remain in line with or below real estate inventory costs in the near term. Our real estate inventory spending in 2012 included $7 million required under a purchase commitment for vacation ownership units in our Asia Pacific segment upon completion of construction. Real estate inventory spending in 2010 included a $102 million payment for delivery of a turnkey project under a purchase agreement signed in 2006. We recently expanded our existing vacation ownership interest repurchase program. We are proactively buying back previously sold vacation ownership interests under this repurchase program at lower costs than would be required to develop new inventory. By repurchasing inventory in desirable locations we expect to be able to stabilize the future cost of vacation ownership products for the next several years.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 collections in excess of new mortgages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3"/>
              </w:rPr>
              <w:t>Fiscal Years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receivable collections (non-securitized vacation ownership notes receivable)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107</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Notes receivable collections (securitized vacation ownership notes receivable)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New vacation ownership notes receivable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(262)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(256)</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40"/>
              <w:spacing w:after="0"/>
              <w:rPr>
                <w:sz w:val="20"/>
                <w:szCs w:val="20"/>
                <w:color w:val="auto"/>
              </w:rPr>
            </w:pPr>
            <w:r>
              <w:rPr>
                <w:rFonts w:ascii="Arial" w:cs="Arial" w:eastAsia="Arial" w:hAnsi="Arial"/>
                <w:sz w:val="18"/>
                <w:szCs w:val="18"/>
                <w:color w:val="auto"/>
              </w:rPr>
              <w:t>Notes receivable collections in excess of new mortgages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66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Notes receivable collections include principal from non-securitized and securitized vacation ownership notes receivable for all periods reported. Collections declined for all periods reported due to the declining vacation ownership notes receivable balance. New vacation ownership notes receivable increased slightly in 2012 compared to 2011 due primarily to an increase in vacation ownership product sales volumes. Financing propensity in 2012 remained in line with 2011 at 43 percent. New vacation ownership notes receivable increased modestly in 2011 compared to 2010 due primarily to an increase in financing propensity to 43 percent in 2011 from 40 percent in 2010, partially offset by lower vacation ownership contract sales.</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2012, four of our securitized vacation ownership notes receivable pools reached performance triggers in different months through July 2012 as a result of increased defaults. Since that time, performance improved sufficiently in these vacation ownership notes receivable pools and none have reached performance triggers. For 2012, 2011, and 2010, approximately $1 million, $3 million, and $6 million of cash flows, respectively, were redirected as a result of reaching the performance triggers during those years. See Footnote No. 10, “Debt,” of the Notes to our Financial Statements for additional information regarding the failure of certain securitization pools to perform within established parameters and the resulting redirection of cash flows. At December 28, 2012, we had 8 securitized vacation ownership notes receivable pools outstanding (excluding the Warehouse Credit Facility).</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5"/>
              </w:rPr>
              <w:t>Fiscal Years</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 for property and equipment (excluding inventory)</w:t>
            </w:r>
          </w:p>
        </w:tc>
        <w:tc>
          <w:tcPr>
            <w:tcW w:w="1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(17)</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(15)</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Dispositions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Note collections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8"/>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Decrease (increase) in restricted cash</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(15)</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7"/>
        </w:trPr>
        <w:tc>
          <w:tcPr>
            <w:tcW w:w="6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0"/>
        </w:trPr>
        <w:tc>
          <w:tcPr>
            <w:tcW w:w="6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ancillary offerings at resorts such as food and beverage locations.</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2012, capital expenditures for property and equipment of $17 million included $12 million spent to support normal business operations, including $9 million for ancillary and operations assets and $3 million for sales locations, as well as $5 million for technology spending (including $2 million for Spin-Off related initiatives).</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2011, capital expenditures for property and equipment of $15 million included $10 million for technology spending, of which $7 million related to systems enhancements supporting the MVCD program and $2 million to Spin-Off related initiatives, and $5 million to support normal business operations (</w:t>
      </w:r>
      <w:r>
        <w:rPr>
          <w:rFonts w:ascii="Arial" w:cs="Arial" w:eastAsia="Arial" w:hAnsi="Arial"/>
          <w:sz w:val="18"/>
          <w:szCs w:val="18"/>
          <w:i w:val="1"/>
          <w:iCs w:val="1"/>
          <w:color w:val="auto"/>
        </w:rPr>
        <w:t>e.g.</w:t>
      </w:r>
      <w:r>
        <w:rPr>
          <w:rFonts w:ascii="Arial" w:cs="Arial" w:eastAsia="Arial" w:hAnsi="Arial"/>
          <w:sz w:val="18"/>
          <w:szCs w:val="18"/>
          <w:color w:val="auto"/>
        </w:rPr>
        <w:t>, sales locations and ancillary assets).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2010, capital expenditures for property and equipment of $24 million included $16 million for technology spending, of which $14 million was spent to facilitate and support the launch of the MVCD program in 2010, and roughly $8 million was spent to support normal business operations (such as sales locations and ancillary assets).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Dispositions of property and assets generated cash proceeds of $8 million in 2012, $19 million in 2011 and $46 million in 2010. The 2012 dispositions primarily related to a disposition of a golf course and related assets at one of our Luxury projects, which was classified as property and equipment and other liabilities within our Luxury segment for cash of $5 million which generated a net gain of $8 million. The $19 million of dispositions in 2011 primarily related to the bulk sale of excess land and developed inventory, which were classified as inventory within our Luxury segment. In 2010, we sold an operating hotel we originally acquired for conversion into vacation ownership products for our Asia Pacific segment for cash proceeds of $42 million and recorded a net gain of $21 million.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collections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collections relate to monies collected from a related party.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Decrease (increase) in restricted cash</w:t>
      </w:r>
    </w:p>
    <w:p>
      <w:pPr>
        <w:spacing w:after="0" w:line="90"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Restricted cash primarily consists of cash held in a reserve account related to vacation ownership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 The 2012 decrease in restricted cash mainly reflects cash collected in connection with securitized vacation ownership notes receivable that will be distributed to investors subsequent to the end of 2012 and, to a lesser extent, payments made to property owners’ associations for maintenance fees collected on their behalf prior to the end of 2011. The 2011 increase in restricted cash reflects higher cash collections for maintenance fees to be remitted to certain property owners’ associations. The 2010 decrease reflects the impact of bonding escrow deposits, thereby no longer requiring a portion of these deposits to be restricted.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Borrowings from securitization transactions</w:t>
            </w:r>
          </w:p>
        </w:tc>
        <w:tc>
          <w:tcPr>
            <w:tcW w:w="1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$ 238</w:t>
            </w:r>
          </w:p>
        </w:tc>
        <w:tc>
          <w:tcPr>
            <w:tcW w:w="18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 —</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$ 218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Warehouse Credit Facility</w:t>
            </w:r>
          </w:p>
        </w:tc>
        <w:tc>
          <w:tcPr>
            <w:tcW w:w="1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880"/>
              <w:spacing w:after="0"/>
              <w:rPr>
                <w:sz w:val="20"/>
                <w:szCs w:val="20"/>
                <w:color w:val="auto"/>
              </w:rPr>
            </w:pPr>
            <w:r>
              <w:rPr>
                <w:rFonts w:ascii="Arial" w:cs="Arial" w:eastAsia="Arial" w:hAnsi="Arial"/>
                <w:sz w:val="18"/>
                <w:szCs w:val="18"/>
                <w:color w:val="auto"/>
              </w:rPr>
              <w:t>Subtotal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125</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securitizations</w:t>
            </w:r>
          </w:p>
        </w:tc>
        <w:tc>
          <w:tcPr>
            <w:tcW w:w="1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Bonds payable on securitized vacation ownership notes receivable</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(293)</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(287)</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Warehouse Credit Facility</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880"/>
              <w:spacing w:after="0"/>
              <w:rPr>
                <w:sz w:val="20"/>
                <w:szCs w:val="20"/>
                <w:color w:val="auto"/>
              </w:rPr>
            </w:pPr>
            <w:r>
              <w:rPr>
                <w:rFonts w:ascii="Arial" w:cs="Arial" w:eastAsia="Arial" w:hAnsi="Arial"/>
                <w:sz w:val="18"/>
                <w:szCs w:val="18"/>
                <w:color w:val="auto"/>
              </w:rPr>
              <w:t>Subtotal</w:t>
            </w:r>
          </w:p>
        </w:tc>
        <w:tc>
          <w:tcPr>
            <w:tcW w:w="1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00" w:type="dxa"/>
            <w:vAlign w:val="bottom"/>
            <w:vMerge w:val="continue"/>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(411)</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(295)</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1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Repayment on Revolving Corporate Credit Facility</w:t>
            </w:r>
          </w:p>
        </w:tc>
        <w:tc>
          <w:tcPr>
            <w:tcW w:w="1700" w:type="dxa"/>
            <w:vAlign w:val="bottom"/>
            <w:gridSpan w:val="3"/>
          </w:tcPr>
          <w:p>
            <w:pPr>
              <w:jc w:val="right"/>
              <w:ind w:right="120"/>
              <w:spacing w:after="0"/>
              <w:rPr>
                <w:sz w:val="20"/>
                <w:szCs w:val="20"/>
                <w:color w:val="auto"/>
              </w:rPr>
            </w:pPr>
            <w:r>
              <w:rPr>
                <w:rFonts w:ascii="Arial" w:cs="Arial" w:eastAsia="Arial" w:hAnsi="Arial"/>
                <w:sz w:val="18"/>
                <w:szCs w:val="18"/>
                <w:color w:val="auto"/>
              </w:rPr>
              <w:t>(15)</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Repayment of third party debt</w:t>
            </w:r>
          </w:p>
        </w:tc>
        <w:tc>
          <w:tcPr>
            <w:tcW w:w="1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share-based compensation</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Proceeds from stock option exercises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distribution to Marriott International</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1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(246)</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Renewal of Warehouse Credit Facility</w:t>
      </w:r>
    </w:p>
    <w:p>
      <w:pPr>
        <w:spacing w:after="0" w:line="9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On September 11, 2012, we entered into amended and restated agreements associated with the Warehouse Credit Facility. As a result, the borrowing capacity of the Warehouse Credit Facility was reduced from $300 million to $250 million and the revolving period was extended to September 10, 2014. In addition, borrowings under the Warehouse Credit Facility now bear interest at a rate based on the one-month LIBOR and bank conduit commercial paper rates plus 1.5 percent and are limited at any point in time to the advance rate on the aggregate amount of eligible vacation ownership notes receivable at such time. Other terms of the Warehouse Credit Facility are substantially similar to those in effect prior to the amendment and restatement. At December 28, 2012, no amounts were outstanding under the Warehouse Credit Facility and $136 million of face value of our vacation ownership notes receivable were eligible for securitizations.</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Revolving Corporate Credit Facility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November 30, 2012, we entered into amended and restated agreements associated with the Revolving Corporate Credit Facility. As a result, the termination date of the commitments of the lenders under the Revolving Corporate Credit Facility was extended to November 21, 2016. Borrowings under the Revolving Corporate Credit Facility now generally bear interest at a floating rate at the Eurodollar rate plus an applicable margin that varies from 2 percent to 3.5 percent depending on our credit rating. In addition, we will now pay a commitment fee on the unused availability under the Revolving Corporate Credit Agreement at a rate that varies from 25 basis points per annum to 55 basis points per annum. See Footnote No. 10, “Debt,” of the Notes to our Financial Statements for further information related to our Revolving Corporate Credit Facility.</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 repayments of debt related to securitizations</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We reflect proceeds from securitizations of vacation ownership notes receivable, including draw downs on the Warehouse Credit Facility, as “Borrowings from securitization transactions,” and we reflect repayment on bonds payable associated with vacation ownership notes receivable securitizations and on the Warehouse Credit Facility, including note repurchases, as “Repayment of debt related to securitizations,” within “Cash from Financing Activities.”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June 28, 2012, we completed a securitization of a pool of approximately $250 million of vacation ownership notes receivable to Marriott Vacation Club Owner Trust 2012-1 (the “2012-1 Trust”), including $122 million of vacation ownership notes receivable that were previously securitized in the Warehouse Credit Facility. Simultaneously with the securitization of the vacation ownership notes receivable to the 2012-1 Trust, investors purchased approximately $238 million in timeshare loan backed notes from the 2012-1 Trust in a private placement. Two classes of timeshare loan backed notes were issued by the 2012-1 Trust: approximately $210 million of Class A Notes and approximately $28 million of Class B Notes. The Class A Notes have an interest rate of 2.51% and the Class B Notes have an interest rate of 3.50%, for an overall weighted average interest rate of 2.625%. As consideration for the securitization of the vacation ownership notes receivable, we received initial gross cash proceeds (before transaction expenses and required reserves) of approximately $238 million ($233 million after transaction expenses and required reserves), and a subordinated residual interest in the 2012-1 Trust through which we expect to realize the remaining value of the vacation ownership notes receivable over time. Of this amount, approximately $101 million was used to repay amounts previously drawn under the Warehouse Credit Facility, and the remainder will be used for general corporate purposes. We have accounted for the securitization as a secured borrowing and therefore did not recognize a gain or loss in the third quarter of 2012 as a result of this transaction.</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November 2010, we completed a securitization of a pool of approximately $229 million of vacation ownership notes receivable to Marriott Vacation Club Owner Trust 2010-1 (the “2010-1 Trust”), including $17 million repurchased from the 2002 transaction. Simultaneously with the securitization of the vacation ownership notes receivable to the 2010-1 Trust, investors purchased approximately $218 million in timeshare loan backed notes from the 2010-1 Trust in a private placement. Two classes of timeshare loan backed notes were issued by the 2012-1 Trust: approximately $195 million of Class A Notes with an interest rate of 3.54 percent and approximately $23 million of Class B Notes with an interest rate of 4.52 percent. As consideration for the securitization of the vacation ownership notes receivable, we received cash proceeds of approximately $215 million, net of costs, and a subordinated retained interest in the 2010-1 Trust through which we expect to realize the remaining value of the vacation ownership notes receivable over time. Under the new Consolidation Standard, we accounted for this transaction as a secured financing in 2010 and we did not record a gain or loss.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Debt issuance costs in 2012 related mainly to costs associated with the amendment and restatement of both the Warehouse Credit Facility and the Revolving Corporate Credit Facility.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Repayment of third party debt</w:t>
      </w:r>
    </w:p>
    <w:p>
      <w:pPr>
        <w:spacing w:after="0" w:line="90"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color w:val="auto"/>
        </w:rPr>
        <w:t>Our repayment of third-party debt in 2011 related to the repayment of borrowings we used to finance a sales center in our Asia Pacific segment in accordance with contractual terms. In 2010, we fully repaid $52 million related to borrowings that we used to finance the acquisitions of land and vacation ownership products in accordance with contractual terms. No further obligations were in effect as of the end of 2011 or 2012.</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distribution to Marriott International</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net distribution to Marriott International in 2011 represents net cash transactions with Marriott International through the date of Spin-Off. For 2010, this represents the net change in our divisional equity and was the sum of our operating, investing and financing activity. See Footnote No. 1, “Summary of Significant Accounting Policies,” of the Notes to our Financial Statements for further information related to cash management activities prior to Spin-Off.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Contractual Obligations and 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the end of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Payments Due by Period</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1 Year</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3-5 Years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Contractual Obligations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787</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201</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Liability for Marriott Rewards customer loyalty program</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225</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371</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299</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principal as well as interest payments and is paid with proceeds from the collection of vacation ownership notes receivables.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interest accretion.</w:t>
      </w:r>
    </w:p>
    <w:p>
      <w:pPr>
        <w:spacing w:after="0" w:line="16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As a large taxpayer, Marriott International is continuously under audit by the IRS and other taxing authorities. We have joined in the Marriott International U.S. Federal tax consolidated filing for all years prior to 2011 and the portion of 2011 up to the date of the Spin-Off. Although we do not anticipate that a significant impact to our unrecognized tax benefit balance will occur during the next fiscal year as a result of these audits, it remains possible that the amount of our liability for unrecognized tax benefits could change over that time period. See Footnote No. 2, “Income Taxes,” of the Notes to our Financial Statements for additional information.</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provided guarantees to certain lenders in connection with the provision of third-party financing for our vacation ownership product sales, which guarantees generally have a stated maximum amount of funding and a term of five to ten years. The terms of the guarantees require us to fund if the purchaser fails to pay under the terms of the note payable. We are then entitled to repossess the property and retain the proceeds from its resale. Our commitments under these guarantees diminish as principal payments are made by the purchaser to the third-party lender. Our current exposure under such guarantees as of year-end 2012 in the Asia Pacific and Luxury segments is $18 million and $3 million, respectively, and the underlying debt to third-party lenders will mature between 2013 and 2022.</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Additionally, in connection with an equity method investment, we provided a completion guarantee in favor of the project lenders. The joint venture has since delivered a completed operational project. Although we have not received a release of our guarantee from the lenders, we do not believe we have any funding exposure under this guarantee.</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9, “Contingencies and Commitments,” of the Notes to our Financial Statements.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results of operations or financial condition.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Please see Footnote No. 1, “Summary of Significant Accounting Policies,” of the Notes to our Financial Statements for further information on accounting policies that we believe to be critical, including our policies on:</w:t>
      </w:r>
    </w:p>
    <w:p>
      <w:pPr>
        <w:spacing w:after="0" w:line="132" w:lineRule="exact"/>
        <w:rPr>
          <w:sz w:val="20"/>
          <w:szCs w:val="20"/>
          <w:color w:val="auto"/>
        </w:rPr>
      </w:pPr>
    </w:p>
    <w:p>
      <w:pPr>
        <w:jc w:val="center"/>
        <w:ind w:left="340" w:right="360"/>
        <w:spacing w:after="0" w:line="440" w:lineRule="auto"/>
        <w:rPr>
          <w:sz w:val="20"/>
          <w:szCs w:val="20"/>
          <w:color w:val="auto"/>
        </w:rPr>
      </w:pPr>
      <w:r>
        <w:rPr>
          <w:rFonts w:ascii="Arial" w:cs="Arial" w:eastAsia="Arial" w:hAnsi="Arial"/>
          <w:sz w:val="18"/>
          <w:szCs w:val="18"/>
          <w:i w:val="1"/>
          <w:iCs w:val="1"/>
          <w:color w:val="auto"/>
        </w:rPr>
        <w:t>Revenue recognition for vacation ownership products</w:t>
      </w:r>
      <w:r>
        <w:rPr>
          <w:rFonts w:ascii="Arial" w:cs="Arial" w:eastAsia="Arial" w:hAnsi="Arial"/>
          <w:sz w:val="18"/>
          <w:szCs w:val="18"/>
          <w:color w:val="auto"/>
        </w:rPr>
        <w:t>, including how we recognize revenue using the percentage-of-completion method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Marriott Rewards customer loyalty program</w:t>
      </w:r>
      <w:r>
        <w:rPr>
          <w:rFonts w:ascii="Arial" w:cs="Arial" w:eastAsia="Arial" w:hAnsi="Arial"/>
          <w:sz w:val="18"/>
          <w:szCs w:val="18"/>
          <w:color w:val="auto"/>
        </w:rPr>
        <w:t>, including how we determine our redemption obligation to Marriott International in connection with Marriott</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International’s customer loyalty program that we historically participated in by offering points as incentives to vacation ownership purchasers and that we continue to participate in following the Spin-Off;</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i w:val="1"/>
          <w:iCs w:val="1"/>
          <w:color w:val="auto"/>
        </w:rPr>
        <w:t xml:space="preserve">Inventories and cost of vacation ownership products, </w:t>
      </w:r>
      <w:r>
        <w:rPr>
          <w:rFonts w:ascii="Arial" w:cs="Arial" w:eastAsia="Arial" w:hAnsi="Arial"/>
          <w:sz w:val="16"/>
          <w:szCs w:val="16"/>
          <w:color w:val="auto"/>
        </w:rPr>
        <w:t>which requires estimation of future revenues, including incremental revenues from future price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or from the sale of reacquired inventory resulting from defaulted vacation ownership notes receivable, and development costs to apply a relative sales value method specific to the vacation ownership industry and how we evaluate the fair value of our vacation ownership inventory;</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property and equipment</w:t>
      </w:r>
      <w:r>
        <w:rPr>
          <w:rFonts w:ascii="Arial" w:cs="Arial" w:eastAsia="Arial" w:hAnsi="Arial"/>
          <w:sz w:val="18"/>
          <w:szCs w:val="18"/>
          <w:color w:val="auto"/>
        </w:rPr>
        <w:t>, including when we record impairment losses;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Loan loss reserves for vacation ownership notes receivable</w:t>
      </w:r>
      <w:r>
        <w:rPr>
          <w:rFonts w:ascii="Arial" w:cs="Arial" w:eastAsia="Arial" w:hAnsi="Arial"/>
          <w:sz w:val="18"/>
          <w:szCs w:val="18"/>
          <w:color w:val="auto"/>
        </w:rPr>
        <w:t>, including information on how we estimate reserves for losses;</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Valuation of investments in ventures</w:t>
      </w:r>
      <w:r>
        <w:rPr>
          <w:rFonts w:ascii="Arial" w:cs="Arial" w:eastAsia="Arial" w:hAnsi="Arial"/>
          <w:sz w:val="18"/>
          <w:szCs w:val="18"/>
          <w:color w:val="auto"/>
        </w:rPr>
        <w:t>, including information on how we evaluate the fair value of investments in ventures and when we record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investments in ventures;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contingencies</w:t>
      </w:r>
      <w:r>
        <w:rPr>
          <w:rFonts w:ascii="Arial" w:cs="Arial" w:eastAsia="Arial" w:hAnsi="Arial"/>
          <w:sz w:val="18"/>
          <w:szCs w:val="18"/>
          <w:color w:val="auto"/>
        </w:rPr>
        <w:t>, including information on how we account for legal contingencies; and</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prior to Spin-Off, by Marriott International entering into derivative arrangements on our behalf. We do not foresee any significant changes in either our exposure to fluctuations in interest rates or currency rates or how we manage such exposure in the future.</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Warehouse Credit Facility provides variable rate financing when we place consumer loans we originate primarily in support of our North American business into that facility. We manage the interest rate risk of this facility by entering into derivative contracts such as swaps or caps that are traditionally utilized in warehouse funding arrangements. We intend to securitize vacation ownership notes receivable in the ABS market at least annually. For these types of transactions or arrangements, we expect to secure fixed rate funding to match our fixed rate vacation ownership notes receivable. However, if we have floating rate debt in the future, we plan to hedge the interest rate risk using derivative instruments. Changes in interest rates may impact the fair value of our fixed rate long-term debt.</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use derivative instruments to reduce market risks due to changes in interest rates and currency exchange rates, including interest rate derivatives that we may be required to enter into as a condition of the Warehouse Credit Facility. As of December 28, 2012, we were not party to any material derivative interest rates or hedges.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Please see Footnote No. 1, “Summary of Significant Accounting Policies,” of the Notes to our Financial Statements for additional information associated with derivative instruments.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the scheduled maturities and the total fair value as of the end of 2012 for our financial instruments that are impacted by market risks: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7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88"/>
              </w:rPr>
              <w:t>Maturities by Period</w:t>
            </w: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4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7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Interest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Rate</w:t>
            </w: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4"/>
                <w:szCs w:val="14"/>
                <w:color w:val="auto"/>
              </w:rPr>
            </w:pPr>
          </w:p>
        </w:tc>
        <w:tc>
          <w:tcPr>
            <w:tcW w:w="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0"/>
              </w:rPr>
              <w:t>Assets – Maturities represent expected principal receipts, fair values</w:t>
            </w:r>
          </w:p>
        </w:tc>
        <w:tc>
          <w:tcPr>
            <w:tcW w:w="4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represent assets</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116</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 securitized</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316"/>
        </w:trPr>
        <w:tc>
          <w:tcPr>
            <w:tcW w:w="4980" w:type="dxa"/>
            <w:vAlign w:val="bottom"/>
            <w:gridSpan w:val="2"/>
          </w:tcPr>
          <w:p>
            <w:pPr>
              <w:spacing w:after="0"/>
              <w:rPr>
                <w:sz w:val="20"/>
                <w:szCs w:val="20"/>
                <w:color w:val="auto"/>
              </w:rPr>
            </w:pPr>
            <w:r>
              <w:rPr>
                <w:rFonts w:ascii="Arial" w:cs="Arial" w:eastAsia="Arial" w:hAnsi="Arial"/>
                <w:sz w:val="18"/>
                <w:szCs w:val="18"/>
                <w:color w:val="auto"/>
                <w:w w:val="95"/>
              </w:rPr>
              <w:t>Liabilities – Maturities represent expected principal payments, fair</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tcPr>
          <w:p>
            <w:pPr>
              <w:ind w:left="200"/>
              <w:spacing w:after="0"/>
              <w:rPr>
                <w:sz w:val="20"/>
                <w:szCs w:val="20"/>
                <w:color w:val="auto"/>
              </w:rPr>
            </w:pPr>
            <w:r>
              <w:rPr>
                <w:rFonts w:ascii="Arial" w:cs="Arial" w:eastAsia="Arial" w:hAnsi="Arial"/>
                <w:sz w:val="18"/>
                <w:szCs w:val="18"/>
                <w:color w:val="auto"/>
              </w:rPr>
              <w:t>values represent liabilities</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3"/>
              </w:rPr>
              <w:t>Non-recourse debt associated with securitized vacation ownership</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receivable</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(106)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(103)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(711)</w:t>
            </w:r>
          </w:p>
        </w:tc>
        <w:tc>
          <w:tcPr>
            <w:tcW w:w="0" w:type="dxa"/>
            <w:vAlign w:val="bottom"/>
          </w:tcPr>
          <w:p>
            <w:pPr>
              <w:spacing w:after="0"/>
              <w:rPr>
                <w:sz w:val="1"/>
                <w:szCs w:val="1"/>
                <w:color w:val="auto"/>
              </w:rPr>
            </w:pPr>
          </w:p>
        </w:tc>
      </w:tr>
      <w:tr>
        <w:trPr>
          <w:trHeight w:val="322"/>
        </w:trPr>
        <w:tc>
          <w:tcPr>
            <w:tcW w:w="4980" w:type="dxa"/>
            <w:vAlign w:val="bottom"/>
            <w:gridSpan w:val="2"/>
          </w:tcPr>
          <w:p>
            <w:pPr>
              <w:spacing w:after="0"/>
              <w:rPr>
                <w:sz w:val="20"/>
                <w:szCs w:val="20"/>
                <w:color w:val="auto"/>
              </w:rPr>
            </w:pPr>
            <w:r>
              <w:rPr>
                <w:rFonts w:ascii="Arial" w:cs="Arial" w:eastAsia="Arial" w:hAnsi="Arial"/>
                <w:sz w:val="18"/>
                <w:szCs w:val="18"/>
                <w:color w:val="auto"/>
                <w:w w:val="93"/>
              </w:rPr>
              <w:t>Mandatorily redeemable preferred stock of consolidated subsidiary</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debt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financial statements required by this item are contained on pages F-1 through F-44 of this Annual Report. See Item 15(a)(1) for a listing of financial statements provided in this Annual Report.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(the “Exchange Act”)), and management necessarily applied its judgment in assessing the costs and benefits of such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Exchange Act Rule 13a-15(f). Management’s annual report on internal control over financial reporting and the independent registered public accounting firm’s report on the effectiveness of our internal control over financial reporting are incorporated by reference to pages F-2 and F-3 of this Annual Report.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Although we continue to use Marriott International’s financial systems to process and record various transactions, during the fourth quarter of 2012 we ceased using Marriott International’s systems for certain payroll and benefit related items. In connection with our outsourcing of these services to a third party, and in order to continuously improve our internal control environment, we implemented new internal controls over financial reporting related to payroll and benefit related transactions.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Other than those noted above, there were no changes in our internal control over financial reporting during the fourth quarter of 2012 that have materially affected, or are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described below, we incorporate certain information appearing in the Proxy Statement we will furnish to our shareholders in connection with our 2013 Annual Meeting of Shareholders by reference in this Annual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incorporate this information by reference to “Our Board of Directors,” “Section 16(a) Beneficial Ownership Reporting Compliance,” “Committees of our Board,” “Transactions with Related Persons,” and “Selection of Director Nominees” sections of our Proxy Statement. We have included information regarding our executive officers and our Code of Conduct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Set forth below is certain information with respect to our executive officers. The information set forth below is as of February 15, 2013, except where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2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Stephen P. Weisz</w:t>
            </w:r>
          </w:p>
        </w:tc>
        <w:tc>
          <w:tcPr>
            <w:tcW w:w="2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62</w:t>
            </w:r>
          </w:p>
        </w:tc>
        <w:tc>
          <w:tcPr>
            <w:tcW w:w="2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8"/>
              </w:rPr>
              <w:t>Stephen P. Weisz has served as our President since 1996 and as our Chief Executive Officer since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Mr. Weisz joined Marriott International in 1972. Over his 39-year career with Marriott International, 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held a number of leadership positions in the Lodging division, including Regional Vice President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Mid-Atlantic Region, Senior Vice President of Rooms Operations, and Vice President of the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Management Group. Mr. Weisz became Senior Vice President of Sales and Marketing for Marriott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Hotels, Resorts &amp; Suites in 1992 and Executive Vice President-Lodging Brands in 1994 before being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named to lead our company in 1996. He currently serves as a Trustee of the American Resort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Development Association and is on the Board of Trustees of Children’s Miracle Network.</w:t>
            </w:r>
          </w:p>
        </w:tc>
        <w:tc>
          <w:tcPr>
            <w:tcW w:w="0" w:type="dxa"/>
            <w:vAlign w:val="bottom"/>
          </w:tcPr>
          <w:p>
            <w:pPr>
              <w:spacing w:after="0"/>
              <w:rPr>
                <w:sz w:val="1"/>
                <w:szCs w:val="1"/>
                <w:color w:val="auto"/>
              </w:rPr>
            </w:pPr>
          </w:p>
        </w:tc>
      </w:tr>
      <w:tr>
        <w:trPr>
          <w:trHeight w:val="316"/>
        </w:trPr>
        <w:tc>
          <w:tcPr>
            <w:tcW w:w="3540" w:type="dxa"/>
            <w:vAlign w:val="bottom"/>
            <w:gridSpan w:val="3"/>
          </w:tcPr>
          <w:p>
            <w:pPr>
              <w:spacing w:after="0"/>
              <w:rPr>
                <w:sz w:val="20"/>
                <w:szCs w:val="20"/>
                <w:color w:val="auto"/>
              </w:rPr>
            </w:pPr>
            <w:r>
              <w:rPr>
                <w:rFonts w:ascii="Arial" w:cs="Arial" w:eastAsia="Arial" w:hAnsi="Arial"/>
                <w:sz w:val="18"/>
                <w:szCs w:val="18"/>
                <w:color w:val="auto"/>
              </w:rPr>
              <w:t>R. Lee Cunningham</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4"/>
              </w:rPr>
              <w:t>R. Lee Cunningham has served as our Executive Vice President and Chief Operating Officer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Executive Vice President and Chief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1"/>
              </w:rPr>
              <w:t>December 2012. From 2007 to December 2012, he served as our Executive Vice President and Chief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200"/>
              <w:spacing w:after="0"/>
              <w:rPr>
                <w:sz w:val="20"/>
                <w:szCs w:val="20"/>
                <w:color w:val="auto"/>
              </w:rPr>
            </w:pPr>
            <w:r>
              <w:rPr>
                <w:rFonts w:ascii="Arial" w:cs="Arial" w:eastAsia="Arial" w:hAnsi="Arial"/>
                <w:sz w:val="18"/>
                <w:szCs w:val="18"/>
                <w:color w:val="auto"/>
              </w:rPr>
              <w:t>Operating Officer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4"/>
              </w:rPr>
              <w:t>Operating Officer – North America and Caribbean. Mr. Cunningham joined Marriott International 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0"/>
              </w:rPr>
              <w:t>1982 and held various front office assignments at Marriott hotels in Atlanta, Scottsdale, Miami, Kansas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City, and Washington, D.C. In 1990, he became one of Marriott International’s first revenue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98"/>
              </w:rPr>
              <w:t>management-focused associates and held roles at property, regional and corporate levels.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w w:val="88"/>
              </w:rPr>
              <w:t>Cunningham joined our company in 1997 as Vice President of Revenue Management and Owner Service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Clifford M. Delorey</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2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Clifford M. Delorey has served as our Executive Vice President and Chief Resort Experience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Executive Vice President and Chief Resort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since October 2012. From May 2011 to October 2012, Mr.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Experience Officer</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40" w:type="dxa"/>
            <w:vAlign w:val="bottom"/>
            <w:gridSpan w:val="3"/>
          </w:tcPr>
          <w:p>
            <w:pPr>
              <w:jc w:val="right"/>
              <w:ind w:right="56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Delorey served as Vice President of Operations for the Middle East and Africa region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for Marriott International. From April 2006 to May 2011, he served as our Vice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President of Operations for the East region. Mr. Delorey joined Marriott International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in 1981 and served in a number of operational roles, including Director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International Operations.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John E. Geller, Jr.</w:t>
            </w: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2"/>
              </w:rPr>
              <w:t>45   John E. Geller, Jr. has served as our Executive Vice President and Chief Financial Officer since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w:t>
            </w: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0"/>
              </w:rPr>
              <w:t>Mr. Geller joined Marriott International in 2005 as Senior Vice President and Chief Audit Executive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Officer</w:t>
            </w: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Information Security Officer. In 2008, he led finance and accounting for Marriott International’s North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American Lodging Operation’s West region as Chief Financial Officer. Mr. Geller began his professional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career at Arthur Andersen, where he was promoted to audit partner in its real estate and hospitality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practice in 2000. During 2002 and 2003, he was an audit partner with Ernst &amp; Young in its real estate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hospitality practice. Mr. Geller served as Chief Financial Officer at AutoStar Realty in 2004. Mr. Geller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is a C.P.A.</w:t>
            </w: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James H Hunter, IV</w:t>
            </w:r>
          </w:p>
        </w:tc>
        <w:tc>
          <w:tcPr>
            <w:tcW w:w="7980" w:type="dxa"/>
            <w:vAlign w:val="bottom"/>
          </w:tcPr>
          <w:p>
            <w:pPr>
              <w:ind w:left="140"/>
              <w:spacing w:after="0"/>
              <w:rPr>
                <w:sz w:val="20"/>
                <w:szCs w:val="20"/>
                <w:color w:val="auto"/>
              </w:rPr>
            </w:pPr>
            <w:r>
              <w:rPr>
                <w:rFonts w:ascii="Arial" w:cs="Arial" w:eastAsia="Arial" w:hAnsi="Arial"/>
                <w:sz w:val="18"/>
                <w:szCs w:val="18"/>
                <w:color w:val="auto"/>
                <w:w w:val="91"/>
              </w:rPr>
              <w:t>50   James H Hunter, IV has served as our Executive Vice President and General Counsel since November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Executive Vice President and General</w:t>
            </w:r>
          </w:p>
        </w:tc>
        <w:tc>
          <w:tcPr>
            <w:tcW w:w="7980" w:type="dxa"/>
            <w:vAlign w:val="bottom"/>
          </w:tcPr>
          <w:p>
            <w:pPr>
              <w:ind w:left="560"/>
              <w:spacing w:after="0"/>
              <w:rPr>
                <w:sz w:val="20"/>
                <w:szCs w:val="20"/>
                <w:color w:val="auto"/>
              </w:rPr>
            </w:pPr>
            <w:r>
              <w:rPr>
                <w:rFonts w:ascii="Arial" w:cs="Arial" w:eastAsia="Arial" w:hAnsi="Arial"/>
                <w:sz w:val="18"/>
                <w:szCs w:val="18"/>
                <w:color w:val="auto"/>
                <w:w w:val="91"/>
              </w:rPr>
              <w:t>2011. Prior to that time, he had served as Senior Vice President and General Counsel since 2006.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Counsel</w:t>
            </w:r>
          </w:p>
        </w:tc>
        <w:tc>
          <w:tcPr>
            <w:tcW w:w="7980" w:type="dxa"/>
            <w:vAlign w:val="bottom"/>
          </w:tcPr>
          <w:p>
            <w:pPr>
              <w:ind w:left="560"/>
              <w:spacing w:after="0"/>
              <w:rPr>
                <w:sz w:val="20"/>
                <w:szCs w:val="20"/>
                <w:color w:val="auto"/>
              </w:rPr>
            </w:pPr>
            <w:r>
              <w:rPr>
                <w:rFonts w:ascii="Arial" w:cs="Arial" w:eastAsia="Arial" w:hAnsi="Arial"/>
                <w:sz w:val="18"/>
                <w:szCs w:val="18"/>
                <w:color w:val="auto"/>
                <w:w w:val="89"/>
              </w:rPr>
              <w:t>Hunter joined Marriott International in 1994 as Corporate Counsel and was promoted to Senior Counsel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8"/>
              </w:rPr>
              <w:t>in 1996 and Assistant General Counsel in 1998. While at Marriott International, he held several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0"/>
              </w:rPr>
              <w:t>leadership positions supporting development of Marriott’s lodging brands in all regions worldwide. Prior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0"/>
              </w:rPr>
              <w:t>to joining Marriott International, Mr. Hunter was an associate at the law firm of Davis, Graham &amp; Stubbs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in Washington, D.C.</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Lizabeth Kane-Hanan</w:t>
            </w: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5"/>
              </w:rPr>
              <w:t>46   Lizabeth Kane-Hanan has served as our Executive Vice President and Chief Growth and Inventory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Executive Vice President and Chief Growth</w:t>
            </w: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Officer since November 2011. Prior to that time, she had served as our Senior Vice President, Resort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Inventory Officer</w:t>
            </w: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Development and Planning, Inventory and Revenue Management and Product Innovation since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8"/>
              </w:rPr>
              <w:t>Ms. Kane-Hanan joined our company in 2000, and has nearly 25 years of hospitality industry experience.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Before joining Marriott International, she spent 14 years in public accounting and advisory firms,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6"/>
              </w:rPr>
              <w:t>including Arthur Andersen and Horwath Hospitality, where she specialized in real estate strategic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1"/>
              </w:rPr>
              <w:t>planning, acquisitions and development. At our company, she has held several leadership positions of</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increasing responsibility.</w:t>
            </w: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Brian E. Miller</w:t>
            </w:r>
          </w:p>
        </w:tc>
        <w:tc>
          <w:tcPr>
            <w:tcW w:w="7980" w:type="dxa"/>
            <w:vAlign w:val="bottom"/>
          </w:tcPr>
          <w:p>
            <w:pPr>
              <w:ind w:left="140"/>
              <w:spacing w:after="0"/>
              <w:rPr>
                <w:sz w:val="20"/>
                <w:szCs w:val="20"/>
                <w:color w:val="auto"/>
              </w:rPr>
            </w:pPr>
            <w:r>
              <w:rPr>
                <w:rFonts w:ascii="Arial" w:cs="Arial" w:eastAsia="Arial" w:hAnsi="Arial"/>
                <w:sz w:val="18"/>
                <w:szCs w:val="18"/>
                <w:color w:val="auto"/>
                <w:w w:val="91"/>
              </w:rPr>
              <w:t>49   Brian E. Miller has served as our Executive Vice President and Chief Sales and Marketing Officer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w w:val="96"/>
              </w:rPr>
              <w:t>Executive Vice President and Chief Sales</w:t>
            </w:r>
          </w:p>
        </w:tc>
        <w:tc>
          <w:tcPr>
            <w:tcW w:w="7980" w:type="dxa"/>
            <w:vAlign w:val="bottom"/>
          </w:tcPr>
          <w:p>
            <w:pPr>
              <w:ind w:left="560"/>
              <w:spacing w:after="0"/>
              <w:rPr>
                <w:sz w:val="20"/>
                <w:szCs w:val="20"/>
                <w:color w:val="auto"/>
              </w:rPr>
            </w:pPr>
            <w:r>
              <w:rPr>
                <w:rFonts w:ascii="Arial" w:cs="Arial" w:eastAsia="Arial" w:hAnsi="Arial"/>
                <w:sz w:val="18"/>
                <w:szCs w:val="18"/>
                <w:color w:val="auto"/>
                <w:w w:val="88"/>
              </w:rPr>
              <w:t>November 2011. Prior to that time, he had served as our Senior Vice President, Sales and Marketing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and Marketing Officer</w:t>
            </w:r>
          </w:p>
        </w:tc>
        <w:tc>
          <w:tcPr>
            <w:tcW w:w="7980" w:type="dxa"/>
            <w:vAlign w:val="bottom"/>
          </w:tcPr>
          <w:p>
            <w:pPr>
              <w:ind w:left="560"/>
              <w:spacing w:after="0"/>
              <w:rPr>
                <w:sz w:val="20"/>
                <w:szCs w:val="20"/>
                <w:color w:val="auto"/>
              </w:rPr>
            </w:pPr>
            <w:r>
              <w:rPr>
                <w:rFonts w:ascii="Arial" w:cs="Arial" w:eastAsia="Arial" w:hAnsi="Arial"/>
                <w:sz w:val="18"/>
                <w:szCs w:val="18"/>
                <w:color w:val="auto"/>
              </w:rPr>
              <w:t>Service Operations since 2007. Mr. Miller joined our company in 1991 as National Director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89"/>
              </w:rPr>
              <w:t>Marketing Operations and has more than 25 years of vacation ownership marketing and sales expertise.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1"/>
              </w:rPr>
              <w:t>In 1994, he was promoted to Vice President of Marketing. From 1995 to 2000, he served as Regional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0"/>
              </w:rPr>
              <w:t>Vice President of Sales and Marketing for the Europe and Middle East region based in London. He left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6"/>
              </w:rPr>
              <w:t>our company briefly, but returned in 2001 to assume the role of Senior Vice President, Sales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Marketing.</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Dwight D. Smith</w:t>
            </w: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52   Dwight D. Smith has served as our Executive Vice President and Chief Information Officer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and Chief</w:t>
            </w: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89"/>
              </w:rPr>
              <w:t>December 2011. Prior to that time, he served as our Senior Vice President and Chief Information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Information Officer</w:t>
            </w: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4"/>
              </w:rPr>
              <w:t>since 2006. Mr. Smith joined Marriott International in 1988 as Senior Manager and then Director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7"/>
              </w:rPr>
              <w:t>Information Resources for Roy Rogers Restaurants. He worked from 1982 to 1988 at Andersen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Consulting as Staff Consultant and then Consulting Manager in the advanced technology group. Mr.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79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Smith moved to our corporate headquarters in 1990.</w:t>
            </w:r>
          </w:p>
        </w:tc>
        <w:tc>
          <w:tcPr>
            <w:tcW w:w="0" w:type="dxa"/>
            <w:vAlign w:val="bottom"/>
          </w:tcPr>
          <w:p>
            <w:pPr>
              <w:spacing w:after="0"/>
              <w:rPr>
                <w:sz w:val="1"/>
                <w:szCs w:val="1"/>
                <w:color w:val="auto"/>
              </w:rPr>
            </w:pPr>
          </w:p>
        </w:tc>
      </w:tr>
      <w:tr>
        <w:trPr>
          <w:trHeight w:val="316"/>
        </w:trPr>
        <w:tc>
          <w:tcPr>
            <w:tcW w:w="3440" w:type="dxa"/>
            <w:vAlign w:val="bottom"/>
            <w:gridSpan w:val="2"/>
          </w:tcPr>
          <w:p>
            <w:pPr>
              <w:spacing w:after="0"/>
              <w:rPr>
                <w:sz w:val="20"/>
                <w:szCs w:val="20"/>
                <w:color w:val="auto"/>
              </w:rPr>
            </w:pPr>
            <w:r>
              <w:rPr>
                <w:rFonts w:ascii="Arial" w:cs="Arial" w:eastAsia="Arial" w:hAnsi="Arial"/>
                <w:sz w:val="18"/>
                <w:szCs w:val="18"/>
                <w:color w:val="auto"/>
              </w:rPr>
              <w:t>Michael E. Yonker</w:t>
            </w:r>
          </w:p>
        </w:tc>
        <w:tc>
          <w:tcPr>
            <w:tcW w:w="7980" w:type="dxa"/>
            <w:vAlign w:val="bottom"/>
          </w:tcPr>
          <w:p>
            <w:pPr>
              <w:ind w:left="140"/>
              <w:spacing w:after="0"/>
              <w:rPr>
                <w:sz w:val="20"/>
                <w:szCs w:val="20"/>
                <w:color w:val="auto"/>
              </w:rPr>
            </w:pPr>
            <w:r>
              <w:rPr>
                <w:rFonts w:ascii="Arial" w:cs="Arial" w:eastAsia="Arial" w:hAnsi="Arial"/>
                <w:sz w:val="18"/>
                <w:szCs w:val="18"/>
                <w:color w:val="auto"/>
                <w:w w:val="89"/>
              </w:rPr>
              <w:t>54   Michael E. Yonker has served as our Executive Vice President and Chief Human Resources Officer since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w w:val="92"/>
              </w:rPr>
              <w:t>Executive Vice President and Chief Human</w:t>
            </w:r>
          </w:p>
        </w:tc>
        <w:tc>
          <w:tcPr>
            <w:tcW w:w="7980" w:type="dxa"/>
            <w:vAlign w:val="bottom"/>
          </w:tcPr>
          <w:p>
            <w:pPr>
              <w:ind w:left="560"/>
              <w:spacing w:after="0"/>
              <w:rPr>
                <w:sz w:val="20"/>
                <w:szCs w:val="20"/>
                <w:color w:val="auto"/>
              </w:rPr>
            </w:pPr>
            <w:r>
              <w:rPr>
                <w:rFonts w:ascii="Arial" w:cs="Arial" w:eastAsia="Arial" w:hAnsi="Arial"/>
                <w:sz w:val="18"/>
                <w:szCs w:val="18"/>
                <w:color w:val="auto"/>
                <w:w w:val="92"/>
              </w:rPr>
              <w:t>December 2011. Prior to that time, he served as our Chief Human Resources Officer since 2010.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Arial" w:cs="Arial" w:eastAsia="Arial" w:hAnsi="Arial"/>
                <w:sz w:val="18"/>
                <w:szCs w:val="18"/>
                <w:color w:val="auto"/>
              </w:rPr>
              <w:t>Resources Officer</w:t>
            </w:r>
          </w:p>
        </w:tc>
        <w:tc>
          <w:tcPr>
            <w:tcW w:w="7980" w:type="dxa"/>
            <w:vAlign w:val="bottom"/>
          </w:tcPr>
          <w:p>
            <w:pPr>
              <w:ind w:left="560"/>
              <w:spacing w:after="0"/>
              <w:rPr>
                <w:sz w:val="20"/>
                <w:szCs w:val="20"/>
                <w:color w:val="auto"/>
              </w:rPr>
            </w:pPr>
            <w:r>
              <w:rPr>
                <w:rFonts w:ascii="Arial" w:cs="Arial" w:eastAsia="Arial" w:hAnsi="Arial"/>
                <w:sz w:val="18"/>
                <w:szCs w:val="18"/>
                <w:color w:val="auto"/>
                <w:w w:val="91"/>
              </w:rPr>
              <w:t>Yonker joined Marriott International in 1983 as Assistant Controller at the Lincolnshire Marriott Resort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w w:val="91"/>
              </w:rPr>
              <w:t>in Chicago. While at Marriott International, he held a number of positions with increasing responsibility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980" w:type="dxa"/>
            <w:vAlign w:val="bottom"/>
          </w:tcPr>
          <w:p>
            <w:pPr>
              <w:ind w:left="560"/>
              <w:spacing w:after="0"/>
              <w:rPr>
                <w:sz w:val="20"/>
                <w:szCs w:val="20"/>
                <w:color w:val="auto"/>
              </w:rPr>
            </w:pPr>
            <w:r>
              <w:rPr>
                <w:rFonts w:ascii="Arial" w:cs="Arial" w:eastAsia="Arial" w:hAnsi="Arial"/>
                <w:sz w:val="18"/>
                <w:szCs w:val="18"/>
                <w:color w:val="auto"/>
              </w:rPr>
              <w:t>in both the finance and human resources areas. From 1996 to 1998, he was the Area</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7980" w:type="dxa"/>
            <w:vAlign w:val="bottom"/>
          </w:tcPr>
          <w:p>
            <w:pPr>
              <w:ind w:left="21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left="4000" w:right="80"/>
        <w:spacing w:after="0" w:line="306" w:lineRule="auto"/>
        <w:rPr>
          <w:sz w:val="20"/>
          <w:szCs w:val="20"/>
          <w:color w:val="auto"/>
        </w:rPr>
      </w:pPr>
      <w:r>
        <w:rPr>
          <w:rFonts w:ascii="Arial" w:cs="Arial" w:eastAsia="Arial" w:hAnsi="Arial"/>
          <w:sz w:val="16"/>
          <w:szCs w:val="16"/>
          <w:color w:val="auto"/>
        </w:rPr>
        <w:t>Director of Human Resources, supporting the mid-central region at Sodexho Marriott. He returned to Marriott International in 1998 as Vice President, Human Resources supporting the Midwest Region and was named our Vice President, Human Resources in 2007 supporting global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Board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t>
      </w:r>
      <w:r>
        <w:rPr>
          <w:rFonts w:ascii="Arial" w:cs="Arial" w:eastAsia="Arial" w:hAnsi="Arial"/>
          <w:sz w:val="16"/>
          <w:szCs w:val="16"/>
          <w:u w:val="single" w:color="auto"/>
          <w:color w:val="auto"/>
        </w:rPr>
        <w:t>www.marriottvacationsworldwide.com</w:t>
      </w:r>
      <w:r>
        <w:rPr>
          <w:rFonts w:ascii="Arial" w:cs="Arial" w:eastAsia="Arial" w:hAnsi="Arial"/>
          <w:sz w:val="16"/>
          <w:szCs w:val="16"/>
          <w:color w:val="auto"/>
        </w:rPr>
        <w:t xml:space="preserve">) and is accessible by clicking on “Corporate Governance.” Any amendments to our Business Conduct Guide and any grant of a waiver from a provision of our Business Conduct Guide requiring disclosure under applicable SEC rules will be disclosed at the same location as the Business Conduct Guide in the Investor Relations section of our website located at </w:t>
      </w:r>
      <w:r>
        <w:rPr>
          <w:rFonts w:ascii="Arial" w:cs="Arial" w:eastAsia="Arial" w:hAnsi="Arial"/>
          <w:sz w:val="16"/>
          <w:szCs w:val="16"/>
          <w:u w:val="single" w:color="auto"/>
          <w:color w:val="auto"/>
        </w:rPr>
        <w:t>www.marriottvacationsworldwide.com</w:t>
      </w:r>
      <w:r>
        <w:rPr>
          <w:rFonts w:ascii="Arial" w:cs="Arial" w:eastAsia="Arial" w:hAnsi="Arial"/>
          <w:sz w:val="16"/>
          <w:szCs w:val="16"/>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incorporate this information by reference to the “Executive and Director Compensation” and “Compensation Committee Interlocks and Insider Participation” sections of our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incorporate this information by reference to the “Securities Authorized for Issuance Under Equity Compensation Plans” and the “Stock Ownership” sections of our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incorporate this information by reference to the “Transactions with Related Persons,” and “Director Independence” sections of our Proxy Statement.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incorporate this information by reference to the “Independent Registered Public Accounting Firm Fee Disclosure” and the “Pre-Approval of Independent Auditor Fees and Services Policy” sections of our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(a)(1)-(2) Financial Statements and Schedules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financial statements and schedules listed in the accompanying Index to Consolidated Financial Statements on page F-1 are filed as part of this Report. We include the financial statement schedules required by the applicable accounting regulations of the SEC in the notes to our consolidated financial statements and incorporate that information in that information in this Item 15 by reference.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“Index to Exhibits” beginning on page 70, which is incorporated by reference herein. The Index to Exhibits lists all exhibits filed with this Report and identifies which of those exhibits are management contracts and compensation plans.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459"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we have duly caused this Form 10-K to be signed on our behalf by the undersigned, thereunto duly authorized, on this 22</w:t>
      </w:r>
      <w:r>
        <w:rPr>
          <w:rFonts w:ascii="Arial" w:cs="Arial" w:eastAsia="Arial" w:hAnsi="Arial"/>
          <w:sz w:val="11"/>
          <w:szCs w:val="11"/>
          <w:color w:val="auto"/>
        </w:rPr>
        <w:t>nd</w:t>
      </w:r>
      <w:r>
        <w:rPr>
          <w:rFonts w:ascii="Arial" w:cs="Arial" w:eastAsia="Arial" w:hAnsi="Arial"/>
          <w:sz w:val="18"/>
          <w:szCs w:val="18"/>
          <w:color w:val="auto"/>
        </w:rPr>
        <w:t xml:space="preserve"> day of February, 2013.</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indicated and on the date indicated above.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380" w:type="dxa"/>
            <w:vAlign w:val="bottom"/>
          </w:tcPr>
          <w:p>
            <w:pPr>
              <w:spacing w:after="0"/>
              <w:rPr>
                <w:sz w:val="20"/>
                <w:szCs w:val="20"/>
                <w:color w:val="auto"/>
              </w:rPr>
            </w:pPr>
            <w:r>
              <w:rPr>
                <w:rFonts w:ascii="Arial" w:cs="Arial" w:eastAsia="Arial" w:hAnsi="Arial"/>
                <w:sz w:val="18"/>
                <w:szCs w:val="18"/>
                <w:b w:val="1"/>
                <w:bCs w:val="1"/>
                <w:color w:val="auto"/>
              </w:rPr>
              <w:t>Principal Executive Officer:</w:t>
            </w:r>
          </w:p>
        </w:tc>
        <w:tc>
          <w:tcPr>
            <w:tcW w:w="680" w:type="dxa"/>
            <w:vAlign w:val="bottom"/>
          </w:tcPr>
          <w:p>
            <w:pPr>
              <w:spacing w:after="0"/>
              <w:rPr>
                <w:sz w:val="19"/>
                <w:szCs w:val="19"/>
                <w:color w:val="auto"/>
              </w:rPr>
            </w:pPr>
          </w:p>
        </w:tc>
        <w:tc>
          <w:tcPr>
            <w:tcW w:w="5360" w:type="dxa"/>
            <w:vAlign w:val="bottom"/>
          </w:tcPr>
          <w:p>
            <w:pPr>
              <w:spacing w:after="0"/>
              <w:rPr>
                <w:sz w:val="19"/>
                <w:szCs w:val="19"/>
                <w:color w:val="auto"/>
              </w:rPr>
            </w:pPr>
          </w:p>
        </w:tc>
      </w:tr>
      <w:tr>
        <w:trPr>
          <w:trHeight w:val="419"/>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/s/ Stephen P. Weisz</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23"/>
        </w:trPr>
        <w:tc>
          <w:tcPr>
            <w:tcW w:w="5380" w:type="dxa"/>
            <w:vAlign w:val="bottom"/>
          </w:tcPr>
          <w:p>
            <w:pPr>
              <w:jc w:val="center"/>
              <w:spacing w:after="0"/>
              <w:rPr>
                <w:sz w:val="20"/>
                <w:szCs w:val="20"/>
                <w:color w:val="auto"/>
              </w:rPr>
            </w:pPr>
            <w:r>
              <w:rPr>
                <w:rFonts w:ascii="Arial" w:cs="Arial" w:eastAsia="Arial" w:hAnsi="Arial"/>
                <w:sz w:val="18"/>
                <w:szCs w:val="18"/>
                <w:color w:val="auto"/>
                <w:w w:val="83"/>
              </w:rPr>
              <w:t>Stephen P. Weisz</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432"/>
        </w:trPr>
        <w:tc>
          <w:tcPr>
            <w:tcW w:w="538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/s/ John E. Geller, Jr.</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23"/>
        </w:trPr>
        <w:tc>
          <w:tcPr>
            <w:tcW w:w="5380" w:type="dxa"/>
            <w:vAlign w:val="bottom"/>
          </w:tcPr>
          <w:p>
            <w:pPr>
              <w:jc w:val="center"/>
              <w:spacing w:after="0"/>
              <w:rPr>
                <w:sz w:val="20"/>
                <w:szCs w:val="20"/>
                <w:color w:val="auto"/>
              </w:rPr>
            </w:pPr>
            <w:r>
              <w:rPr>
                <w:rFonts w:ascii="Arial" w:cs="Arial" w:eastAsia="Arial" w:hAnsi="Arial"/>
                <w:sz w:val="18"/>
                <w:szCs w:val="18"/>
                <w:color w:val="auto"/>
                <w:w w:val="86"/>
              </w:rPr>
              <w:t>John E. Geller, Jr.</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432"/>
        </w:trPr>
        <w:tc>
          <w:tcPr>
            <w:tcW w:w="538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32"/>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Laurie A. Sullivan</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23"/>
        </w:trPr>
        <w:tc>
          <w:tcPr>
            <w:tcW w:w="5380" w:type="dxa"/>
            <w:vAlign w:val="bottom"/>
          </w:tcPr>
          <w:p>
            <w:pPr>
              <w:jc w:val="center"/>
              <w:spacing w:after="0"/>
              <w:rPr>
                <w:sz w:val="20"/>
                <w:szCs w:val="20"/>
                <w:color w:val="auto"/>
              </w:rPr>
            </w:pPr>
            <w:r>
              <w:rPr>
                <w:rFonts w:ascii="Arial" w:cs="Arial" w:eastAsia="Arial" w:hAnsi="Arial"/>
                <w:sz w:val="18"/>
                <w:szCs w:val="18"/>
                <w:color w:val="auto"/>
                <w:w w:val="92"/>
              </w:rPr>
              <w:t>Laurie A. Sullivan</w:t>
            </w:r>
          </w:p>
        </w:tc>
        <w:tc>
          <w:tcPr>
            <w:tcW w:w="6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2"/>
              </w:rPr>
              <w:t>Senior Vice President, Corporate Controller and Chief Accounting Officer</w:t>
            </w:r>
          </w:p>
        </w:tc>
      </w:tr>
      <w:tr>
        <w:trPr>
          <w:trHeight w:val="459"/>
        </w:trPr>
        <w:tc>
          <w:tcPr>
            <w:tcW w:w="538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68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420"/>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William J. Shaw</w:t>
            </w:r>
          </w:p>
        </w:tc>
        <w:tc>
          <w:tcPr>
            <w:tcW w:w="680" w:type="dxa"/>
            <w:vAlign w:val="bottom"/>
          </w:tcPr>
          <w:p>
            <w:pPr>
              <w:spacing w:after="0"/>
              <w:rPr>
                <w:sz w:val="24"/>
                <w:szCs w:val="2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J. Hutchison, III</w:t>
            </w:r>
          </w:p>
        </w:tc>
      </w:tr>
      <w:tr>
        <w:trPr>
          <w:trHeight w:val="222"/>
        </w:trPr>
        <w:tc>
          <w:tcPr>
            <w:tcW w:w="5380" w:type="dxa"/>
            <w:vAlign w:val="bottom"/>
          </w:tcPr>
          <w:p>
            <w:pPr>
              <w:jc w:val="center"/>
              <w:spacing w:after="0"/>
              <w:rPr>
                <w:sz w:val="20"/>
                <w:szCs w:val="20"/>
                <w:color w:val="auto"/>
              </w:rPr>
            </w:pPr>
            <w:r>
              <w:rPr>
                <w:rFonts w:ascii="Arial" w:cs="Arial" w:eastAsia="Arial" w:hAnsi="Arial"/>
                <w:sz w:val="18"/>
                <w:szCs w:val="18"/>
                <w:color w:val="auto"/>
                <w:w w:val="89"/>
              </w:rPr>
              <w:t>William J. Shaw, Chairman</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1"/>
              </w:rPr>
              <w:t>Thomas J. Hutchison, III, Director</w:t>
            </w:r>
          </w:p>
        </w:tc>
      </w:tr>
      <w:tr>
        <w:trPr>
          <w:trHeight w:val="433"/>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Raymond L. Gellein, Jr.</w:t>
            </w:r>
          </w:p>
        </w:tc>
        <w:tc>
          <w:tcPr>
            <w:tcW w:w="680" w:type="dxa"/>
            <w:vAlign w:val="bottom"/>
          </w:tcPr>
          <w:p>
            <w:pPr>
              <w:spacing w:after="0"/>
              <w:rPr>
                <w:sz w:val="24"/>
                <w:szCs w:val="2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Melquiades R. Martinez</w:t>
            </w:r>
          </w:p>
        </w:tc>
      </w:tr>
      <w:tr>
        <w:trPr>
          <w:trHeight w:val="222"/>
        </w:trPr>
        <w:tc>
          <w:tcPr>
            <w:tcW w:w="5380" w:type="dxa"/>
            <w:vAlign w:val="bottom"/>
          </w:tcPr>
          <w:p>
            <w:pPr>
              <w:jc w:val="center"/>
              <w:spacing w:after="0"/>
              <w:rPr>
                <w:sz w:val="20"/>
                <w:szCs w:val="20"/>
                <w:color w:val="auto"/>
              </w:rPr>
            </w:pPr>
            <w:r>
              <w:rPr>
                <w:rFonts w:ascii="Arial" w:cs="Arial" w:eastAsia="Arial" w:hAnsi="Arial"/>
                <w:sz w:val="18"/>
                <w:szCs w:val="18"/>
                <w:color w:val="auto"/>
                <w:w w:val="90"/>
              </w:rPr>
              <w:t>Raymond L. Gellein, Jr., Director</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Melquiades R. Martinez, Director</w:t>
            </w:r>
          </w:p>
        </w:tc>
      </w:tr>
      <w:tr>
        <w:trPr>
          <w:trHeight w:val="433"/>
        </w:trPr>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Deborah Marriott Harrison</w:t>
            </w:r>
          </w:p>
        </w:tc>
        <w:tc>
          <w:tcPr>
            <w:tcW w:w="680" w:type="dxa"/>
            <w:vAlign w:val="bottom"/>
          </w:tcPr>
          <w:p>
            <w:pPr>
              <w:spacing w:after="0"/>
              <w:rPr>
                <w:sz w:val="24"/>
                <w:szCs w:val="2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William W. McCarten</w:t>
            </w:r>
          </w:p>
        </w:tc>
      </w:tr>
      <w:tr>
        <w:trPr>
          <w:trHeight w:val="222"/>
        </w:trPr>
        <w:tc>
          <w:tcPr>
            <w:tcW w:w="5380" w:type="dxa"/>
            <w:vAlign w:val="bottom"/>
          </w:tcPr>
          <w:p>
            <w:pPr>
              <w:jc w:val="center"/>
              <w:spacing w:after="0"/>
              <w:rPr>
                <w:sz w:val="20"/>
                <w:szCs w:val="20"/>
                <w:color w:val="auto"/>
              </w:rPr>
            </w:pPr>
            <w:r>
              <w:rPr>
                <w:rFonts w:ascii="Arial" w:cs="Arial" w:eastAsia="Arial" w:hAnsi="Arial"/>
                <w:sz w:val="18"/>
                <w:szCs w:val="18"/>
                <w:color w:val="auto"/>
                <w:w w:val="91"/>
              </w:rPr>
              <w:t>Deborah Marriott Harrison, Director</w:t>
            </w:r>
          </w:p>
        </w:tc>
        <w:tc>
          <w:tcPr>
            <w:tcW w:w="680" w:type="dxa"/>
            <w:vAlign w:val="bottom"/>
          </w:tcPr>
          <w:p>
            <w:pPr>
              <w:spacing w:after="0"/>
              <w:rPr>
                <w:sz w:val="19"/>
                <w:szCs w:val="19"/>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William W. McCarten, Director</w:t>
            </w:r>
          </w:p>
        </w:tc>
      </w:tr>
      <w:tr>
        <w:trPr>
          <w:trHeight w:val="365"/>
        </w:trPr>
        <w:tc>
          <w:tcPr>
            <w:tcW w:w="538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color w:val="auto"/>
              </w:rPr>
              <w:t>69</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INDEX TO EXHIBITS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Registrant will furnish you, without charge, a copy of any exhibit, upon written request. Written requests to obtain any exhibit should be sent to Marriott Vacations Worldwide Corporation, 6649 Westwood Blvd., Orlando, FL 32821, Attention: Corporate Secretary.</w:t>
      </w:r>
    </w:p>
    <w:p>
      <w:pPr>
        <w:spacing w:after="0" w:line="15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60" w:type="dxa"/>
            <w:vAlign w:val="bottom"/>
          </w:tcPr>
          <w:p>
            <w:pPr>
              <w:spacing w:after="0"/>
              <w:rPr>
                <w:sz w:val="14"/>
                <w:szCs w:val="14"/>
                <w:color w:val="auto"/>
              </w:rPr>
            </w:pPr>
          </w:p>
        </w:tc>
      </w:tr>
      <w:tr>
        <w:trPr>
          <w:trHeight w:val="16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660" w:type="dxa"/>
            <w:vAlign w:val="bottom"/>
          </w:tcPr>
          <w:p>
            <w:pPr>
              <w:spacing w:after="0"/>
              <w:rPr>
                <w:sz w:val="14"/>
                <w:szCs w:val="14"/>
                <w:color w:val="auto"/>
              </w:rPr>
            </w:pPr>
          </w:p>
        </w:tc>
      </w:tr>
      <w:tr>
        <w:trPr>
          <w:trHeight w:val="309"/>
        </w:trPr>
        <w:tc>
          <w:tcPr>
            <w:tcW w:w="440" w:type="dxa"/>
            <w:vAlign w:val="bottom"/>
          </w:tcPr>
          <w:p>
            <w:pPr>
              <w:jc w:val="right"/>
              <w:ind w:right="35"/>
              <w:spacing w:after="0"/>
              <w:rPr>
                <w:sz w:val="20"/>
                <w:szCs w:val="20"/>
                <w:color w:val="auto"/>
              </w:rPr>
            </w:pPr>
            <w:r>
              <w:rPr>
                <w:rFonts w:ascii="Arial" w:cs="Arial" w:eastAsia="Arial" w:hAnsi="Arial"/>
                <w:sz w:val="18"/>
                <w:szCs w:val="18"/>
                <w:color w:val="auto"/>
              </w:rPr>
              <w:t>2.1</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0"/>
              </w:rPr>
              <w:t>Separation and Distribution Agreement, entered into on November 17, 2011, among Marriott International, Inc., Marriott Vacations Worldwide</w:t>
            </w:r>
          </w:p>
        </w:tc>
      </w:tr>
      <w:tr>
        <w:trPr>
          <w:trHeight w:val="216"/>
        </w:trPr>
        <w:tc>
          <w:tcPr>
            <w:tcW w:w="440" w:type="dxa"/>
            <w:vAlign w:val="bottom"/>
          </w:tcPr>
          <w:p>
            <w:pPr>
              <w:spacing w:after="0"/>
              <w:rPr>
                <w:sz w:val="18"/>
                <w:szCs w:val="18"/>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1"/>
              </w:rPr>
              <w:t>Corporation, Marriott Ownership Resorts, Inc., Marriott Resorts Hospitality Corporation, MVCI Asia Pacific Pte. Ltd. and MVCO Series LLC</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(incorporated by reference to Exhibit 2.1 to the Company’s Current Report on 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rPr>
              <w:t>3.1</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0"/>
              </w:rPr>
              <w:t>Restated Certificate of Incorporation of Marriott Vacations Worldwide Corporation (incorporated by reference to Exhibit 3.1 to the Company’s</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Current Report on 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rPr>
              <w:t>3.2</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1"/>
              </w:rPr>
              <w:t>Restated Bylaws of Marriott Vacations Worldwide Corporation (incorporated by reference to Exhibit 3.2 to the Company’s Current Report on</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88"/>
              </w:rPr>
              <w:t>Form of certificate representing shares of common stock, par value $0.01 per share, of Marriott Vacations Worldwide Corporation (incorporated</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by reference to Exhibit 4.1 to the Company’s Registration Statement on Form 10 filed on October 14,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10.1</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0"/>
              </w:rPr>
              <w:t>License, Services, and Development Agreement, entered into on November 17, 2011, among Marriott International, Inc., Marriott Worldwide</w:t>
            </w:r>
          </w:p>
        </w:tc>
      </w:tr>
      <w:tr>
        <w:trPr>
          <w:trHeight w:val="216"/>
        </w:trPr>
        <w:tc>
          <w:tcPr>
            <w:tcW w:w="440" w:type="dxa"/>
            <w:vAlign w:val="bottom"/>
          </w:tcPr>
          <w:p>
            <w:pPr>
              <w:spacing w:after="0"/>
              <w:rPr>
                <w:sz w:val="18"/>
                <w:szCs w:val="18"/>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3"/>
              </w:rPr>
              <w:t>Corporation, Marriott Vacations Worldwide Corporation and the other signatories thereto (incorporated by reference to Exhibit 10.1 to the</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Company’s Current Report on 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10.2</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88"/>
              </w:rPr>
              <w:t>License, Services, and Development Agreement, entered into on November 17, 2011, among The Ritz-Carlton Hotel Company, L.L.C., Marriott</w:t>
            </w:r>
          </w:p>
        </w:tc>
      </w:tr>
      <w:tr>
        <w:trPr>
          <w:trHeight w:val="216"/>
        </w:trPr>
        <w:tc>
          <w:tcPr>
            <w:tcW w:w="440" w:type="dxa"/>
            <w:vAlign w:val="bottom"/>
          </w:tcPr>
          <w:p>
            <w:pPr>
              <w:spacing w:after="0"/>
              <w:rPr>
                <w:sz w:val="18"/>
                <w:szCs w:val="18"/>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89"/>
              </w:rPr>
              <w:t>Vacations Worldwide Corporation and the other signatories thereto (incorporated by reference to Exhibit 10.2 to the Company’s Current Report</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on 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10.3</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89"/>
              </w:rPr>
              <w:t>Employee Benefits and Other Employment Matters Allocation Agreement, entered into on November 17, 2011, between Marriott International,</w:t>
            </w:r>
          </w:p>
        </w:tc>
      </w:tr>
      <w:tr>
        <w:trPr>
          <w:trHeight w:val="216"/>
        </w:trPr>
        <w:tc>
          <w:tcPr>
            <w:tcW w:w="440" w:type="dxa"/>
            <w:vAlign w:val="bottom"/>
          </w:tcPr>
          <w:p>
            <w:pPr>
              <w:spacing w:after="0"/>
              <w:rPr>
                <w:sz w:val="18"/>
                <w:szCs w:val="18"/>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1"/>
              </w:rPr>
              <w:t>Inc. and Marriott Vacations Worldwide Corporation (incorporated by reference to Exhibit 10.3 to the Company’s Current Report on Form 8-K</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10.4</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0"/>
              </w:rPr>
              <w:t>Tax Sharing and Indemnification Agreement, entered into on November 17, 2011, between Marriott International, Inc. and Marriott Vacations</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89"/>
              </w:rPr>
              <w:t>Worldwide Corporation (incorporated by reference to Exhibit 10.4 to the Company’s Current Report on 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10.5</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89"/>
              </w:rPr>
              <w:t>Amendment, dated August 2, 2012, between Marriott International, Inc. and Marriott Vacations Worldwide Corporation, to the Tax Sharing and</w:t>
            </w:r>
          </w:p>
        </w:tc>
      </w:tr>
      <w:tr>
        <w:trPr>
          <w:trHeight w:val="216"/>
        </w:trPr>
        <w:tc>
          <w:tcPr>
            <w:tcW w:w="440" w:type="dxa"/>
            <w:vAlign w:val="bottom"/>
          </w:tcPr>
          <w:p>
            <w:pPr>
              <w:spacing w:after="0"/>
              <w:rPr>
                <w:sz w:val="18"/>
                <w:szCs w:val="18"/>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0"/>
              </w:rPr>
              <w:t>Indemnification Agreement filed as Exhibit 10.4 hereto (incorporated by reference to Exhibit 10.1 to the Company’s Quarterly Report on Form</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10-Q filed on October 18, 2012).</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10.6</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4"/>
              </w:rPr>
              <w:t>Marriott Rewards Affiliation Agreement, entered into on November 17, 2011, among Marriott International, Inc., Marriott Rewards, LLC,</w:t>
            </w:r>
          </w:p>
        </w:tc>
      </w:tr>
      <w:tr>
        <w:trPr>
          <w:trHeight w:val="216"/>
        </w:trPr>
        <w:tc>
          <w:tcPr>
            <w:tcW w:w="440" w:type="dxa"/>
            <w:vAlign w:val="bottom"/>
          </w:tcPr>
          <w:p>
            <w:pPr>
              <w:spacing w:after="0"/>
              <w:rPr>
                <w:sz w:val="18"/>
                <w:szCs w:val="18"/>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1"/>
              </w:rPr>
              <w:t>Marriott Vacations Worldwide Corporation, Marriott Ownership Resorts, Inc. and the other signatories thereto (incorporated by reference to</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Exhibit 10.5 to the Company’s Current Report on 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10.7</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3"/>
              </w:rPr>
              <w:t>Non-Competition Agreement, entered into on November 17, 2011, between Marriott International, Inc. and Marriott Vacations Worldwide</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7"/>
              </w:rPr>
              <w:t>Corporation (incorporated by reference to Exhibit 10.6 to the Company’s Current Report on 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10.8</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2"/>
              </w:rPr>
              <w:t>Omnibus Transition Services Agreement, entered into on November 17, 2011, between Marriott International, Inc. and Marriott Vacations</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89"/>
              </w:rPr>
              <w:t>Worldwide Corporation (incorporated by reference to Exhibit 10.7 to the Company’s Current Report on Form 8-K filed on November 22, 2011).</w:t>
            </w:r>
          </w:p>
        </w:tc>
      </w:tr>
      <w:tr>
        <w:trPr>
          <w:trHeight w:val="318"/>
        </w:trPr>
        <w:tc>
          <w:tcPr>
            <w:tcW w:w="440" w:type="dxa"/>
            <w:vAlign w:val="bottom"/>
          </w:tcPr>
          <w:p>
            <w:pPr>
              <w:jc w:val="right"/>
              <w:ind w:right="35"/>
              <w:spacing w:after="0"/>
              <w:rPr>
                <w:sz w:val="20"/>
                <w:szCs w:val="20"/>
                <w:color w:val="auto"/>
              </w:rPr>
            </w:pPr>
            <w:r>
              <w:rPr>
                <w:rFonts w:ascii="Arial" w:cs="Arial" w:eastAsia="Arial" w:hAnsi="Arial"/>
                <w:sz w:val="18"/>
                <w:szCs w:val="18"/>
                <w:color w:val="auto"/>
                <w:w w:val="85"/>
              </w:rPr>
              <w:t>10.9</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2"/>
              </w:rPr>
              <w:t>First Amendment to Services Exhibit, dated as of October 10, 2012, between Marriott International, Inc. and Marriott Vacations Worldwide</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rPr>
              <w:t>Corporation to the Omnibus Transition Services Agreement filed as Exhibit 10.8 hereto.</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4"/>
              </w:rPr>
              <w:t>Payroll Services Agreement, entered into on November 17, 2011, between Marriott International, Inc. and Marriott Vacations Worldwide</w:t>
            </w:r>
          </w:p>
        </w:tc>
      </w:tr>
      <w:tr>
        <w:trPr>
          <w:trHeight w:val="222"/>
        </w:trPr>
        <w:tc>
          <w:tcPr>
            <w:tcW w:w="440" w:type="dxa"/>
            <w:vAlign w:val="bottom"/>
          </w:tcPr>
          <w:p>
            <w:pPr>
              <w:spacing w:after="0"/>
              <w:rPr>
                <w:sz w:val="19"/>
                <w:szCs w:val="19"/>
                <w:color w:val="auto"/>
              </w:rPr>
            </w:pPr>
          </w:p>
        </w:tc>
        <w:tc>
          <w:tcPr>
            <w:tcW w:w="10780" w:type="dxa"/>
            <w:vAlign w:val="bottom"/>
            <w:gridSpan w:val="3"/>
          </w:tcPr>
          <w:p>
            <w:pPr>
              <w:ind w:left="640"/>
              <w:spacing w:after="0"/>
              <w:rPr>
                <w:sz w:val="20"/>
                <w:szCs w:val="20"/>
                <w:color w:val="auto"/>
              </w:rPr>
            </w:pPr>
            <w:r>
              <w:rPr>
                <w:rFonts w:ascii="Arial" w:cs="Arial" w:eastAsia="Arial" w:hAnsi="Arial"/>
                <w:sz w:val="18"/>
                <w:szCs w:val="18"/>
                <w:color w:val="auto"/>
                <w:w w:val="97"/>
              </w:rPr>
              <w:t>Corporation (incorporated by reference to Exhibit 10.8 to the Company’s Current Report on Form 8-K filed on November 22, 2011).</w:t>
            </w:r>
          </w:p>
        </w:tc>
      </w:tr>
      <w:tr>
        <w:trPr>
          <w:trHeight w:val="365"/>
        </w:trPr>
        <w:tc>
          <w:tcPr>
            <w:tcW w:w="440" w:type="dxa"/>
            <w:vAlign w:val="bottom"/>
          </w:tcPr>
          <w:p>
            <w:pPr>
              <w:spacing w:after="0"/>
              <w:rPr>
                <w:sz w:val="24"/>
                <w:szCs w:val="24"/>
                <w:color w:val="auto"/>
              </w:rPr>
            </w:pPr>
          </w:p>
        </w:tc>
        <w:tc>
          <w:tcPr>
            <w:tcW w:w="5420" w:type="dxa"/>
            <w:vAlign w:val="bottom"/>
          </w:tcPr>
          <w:p>
            <w:pPr>
              <w:ind w:left="5100"/>
              <w:spacing w:after="0"/>
              <w:rPr>
                <w:sz w:val="20"/>
                <w:szCs w:val="20"/>
                <w:color w:val="auto"/>
              </w:rPr>
            </w:pPr>
            <w:r>
              <w:rPr>
                <w:rFonts w:ascii="Arial" w:cs="Arial" w:eastAsia="Arial" w:hAnsi="Arial"/>
                <w:sz w:val="18"/>
                <w:szCs w:val="18"/>
                <w:color w:val="auto"/>
              </w:rPr>
              <w:t>70</w:t>
            </w:r>
          </w:p>
        </w:tc>
        <w:tc>
          <w:tcPr>
            <w:tcW w:w="700" w:type="dxa"/>
            <w:vAlign w:val="bottom"/>
          </w:tcPr>
          <w:p>
            <w:pPr>
              <w:spacing w:after="0"/>
              <w:rPr>
                <w:sz w:val="24"/>
                <w:szCs w:val="24"/>
                <w:color w:val="auto"/>
              </w:rPr>
            </w:pPr>
          </w:p>
        </w:tc>
        <w:tc>
          <w:tcPr>
            <w:tcW w:w="466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20" w:type="dxa"/>
            <w:vAlign w:val="bottom"/>
          </w:tcPr>
          <w:p>
            <w:pPr>
              <w:jc w:val="right"/>
              <w:ind w:right="252"/>
              <w:spacing w:after="0"/>
              <w:rPr>
                <w:sz w:val="20"/>
                <w:szCs w:val="20"/>
                <w:color w:val="auto"/>
              </w:rPr>
            </w:pPr>
            <w:r>
              <w:rPr>
                <w:rFonts w:ascii="Arial" w:cs="Arial" w:eastAsia="Arial" w:hAnsi="Arial"/>
                <w:sz w:val="18"/>
                <w:szCs w:val="18"/>
                <w:color w:val="auto"/>
                <w:w w:val="79"/>
              </w:rPr>
              <w:t>10.11</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Amendment, dated November 5, 2012, to the Payroll Services Agreement between Marriott International, Inc. and Marriott Vacations Worldwide</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Corporation filed as Exhibit 10.10 hereto.</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10.12</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Human Resources and Internal Communications Transition Services Agreement, entered into on November 17, 2011, between Marriott</w:t>
            </w:r>
          </w:p>
        </w:tc>
      </w:tr>
      <w:tr>
        <w:trPr>
          <w:trHeight w:val="216"/>
        </w:trPr>
        <w:tc>
          <w:tcPr>
            <w:tcW w:w="7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International, Inc. and Marriott Vacations Worldwide Corporation (incorporated by reference to Exhibit 10.9 to the Company’s Current Report on</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Form 8-K filed on November 22,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10.13</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Amendment, dated October 26, 2012, to the Human Resources and Internal Communications Transition Services Agreement between Marriott</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International, Inc. and Marriott Vacations Worldwide Corporation filed as Exhibit 10.12 hereto.</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10.14</w:t>
            </w:r>
          </w:p>
        </w:tc>
        <w:tc>
          <w:tcPr>
            <w:tcW w:w="10580" w:type="dxa"/>
            <w:vAlign w:val="bottom"/>
          </w:tcPr>
          <w:p>
            <w:pPr>
              <w:ind w:left="340"/>
              <w:spacing w:after="0"/>
              <w:rPr>
                <w:sz w:val="20"/>
                <w:szCs w:val="20"/>
                <w:color w:val="auto"/>
              </w:rPr>
            </w:pPr>
            <w:r>
              <w:rPr>
                <w:rFonts w:ascii="Arial" w:cs="Arial" w:eastAsia="Arial" w:hAnsi="Arial"/>
                <w:sz w:val="18"/>
                <w:szCs w:val="18"/>
                <w:color w:val="auto"/>
                <w:w w:val="91"/>
              </w:rPr>
              <w:t>Information Resources Transition Services Agreement, entered into on November 17, 2011, between Marriott International, Inc. and Marriott</w:t>
            </w:r>
          </w:p>
        </w:tc>
      </w:tr>
      <w:tr>
        <w:trPr>
          <w:trHeight w:val="216"/>
        </w:trPr>
        <w:tc>
          <w:tcPr>
            <w:tcW w:w="7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Vacations Worldwide Corporation (incorporated by reference to Exhibit 10.10 to the Company’s Current Report on Form 8-K filed on</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November 22,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10.15</w:t>
            </w: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Marriott Vacations Worldwide Corporation Stock and Cash Incentive Plan (incorporated by reference to Exhibit 4.3 to the Company’s</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Registration Statement on Form S-8 filed on November 7,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10.16</w:t>
            </w: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Form of Restricted Stock Unit Agreement – Marriott Vacations Worldwide Corporation Stock and Cash Incentive Plan (incorporated by reference</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to Exhibit 10.1 to the Company’s Current Report on Form 8-K filed on December 9,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10.17</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Form of Stock Appreciation Right Agreement – Marriott Vacations Worldwide Corporation Stock and Cash Incentive Plan (incorporated by</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reference to Exhibit 10.2 to the Company’s Current Report on Form 8-K filed on December 9,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10.18</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Form of Performance Unit Award Agreement – Marriott Vacations Worldwide Corporation Stock and Cash Incentive Plan (incorporated by</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reference to Exhibit 10.1 to the Company’s Current Report on Form 8-K filed on March 16, 2012).*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10.19</w:t>
            </w:r>
          </w:p>
        </w:tc>
        <w:tc>
          <w:tcPr>
            <w:tcW w:w="10580" w:type="dxa"/>
            <w:vAlign w:val="bottom"/>
          </w:tcPr>
          <w:p>
            <w:pPr>
              <w:ind w:left="340"/>
              <w:spacing w:after="0"/>
              <w:rPr>
                <w:sz w:val="20"/>
                <w:szCs w:val="20"/>
                <w:color w:val="auto"/>
              </w:rPr>
            </w:pPr>
            <w:r>
              <w:rPr>
                <w:rFonts w:ascii="Arial" w:cs="Arial" w:eastAsia="Arial" w:hAnsi="Arial"/>
                <w:sz w:val="18"/>
                <w:szCs w:val="18"/>
                <w:color w:val="auto"/>
                <w:w w:val="92"/>
              </w:rPr>
              <w:t>Form of Non-Employee Director Share Award Confirmation (incorporated by reference to Exhibit 10.3 to the Company’s Current Report on</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Form 8-K filed on December 9, 2011).*</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10.20</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Form of Non-Employee Director Stock Appreciation Right Award Agreement (incorporated by reference to Exhibit 10.16 to the Company’s</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Annual Report on Form 10-K filed on March 21, 2012).*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10.21</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Marriott Vacations Worldwide Corporation Change in Control Severance Plan (incorporated by reference to Exhibit 10.2 to the Company’s</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Current Report on Form 8-K filed on March 16, 2012).*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10.22</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Form of Participation Agreement for Change in Control Severance Plan – Marriott Vacations Worldwide Corporation Change in Control</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7"/>
              </w:rPr>
              <w:t>Severance Plan (incorporated by reference to Exhibit 10.3 to the Company’s Current Report on Form 8-K filed on March 16, 2012).*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10.23</w:t>
            </w:r>
          </w:p>
        </w:tc>
        <w:tc>
          <w:tcPr>
            <w:tcW w:w="10580" w:type="dxa"/>
            <w:vAlign w:val="bottom"/>
          </w:tcPr>
          <w:p>
            <w:pPr>
              <w:ind w:left="340"/>
              <w:spacing w:after="0"/>
              <w:rPr>
                <w:sz w:val="20"/>
                <w:szCs w:val="20"/>
                <w:color w:val="auto"/>
              </w:rPr>
            </w:pPr>
            <w:r>
              <w:rPr>
                <w:rFonts w:ascii="Arial" w:cs="Arial" w:eastAsia="Arial" w:hAnsi="Arial"/>
                <w:sz w:val="18"/>
                <w:szCs w:val="18"/>
                <w:color w:val="auto"/>
                <w:w w:val="93"/>
              </w:rPr>
              <w:t>Non-Competition Agreement for Approved Retirees dated as of December 6, 2012 made by Robert A. Miller in favor of Marriott Vacations</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Worldwide Corporation.*</w:t>
            </w:r>
          </w:p>
        </w:tc>
      </w:tr>
      <w:tr>
        <w:trPr>
          <w:trHeight w:val="324"/>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10.24</w:t>
            </w:r>
          </w:p>
        </w:tc>
        <w:tc>
          <w:tcPr>
            <w:tcW w:w="10580" w:type="dxa"/>
            <w:vAlign w:val="bottom"/>
          </w:tcPr>
          <w:p>
            <w:pPr>
              <w:ind w:left="340"/>
              <w:spacing w:after="0"/>
              <w:rPr>
                <w:sz w:val="20"/>
                <w:szCs w:val="20"/>
                <w:color w:val="auto"/>
              </w:rPr>
            </w:pPr>
            <w:r>
              <w:rPr>
                <w:rFonts w:ascii="Arial" w:cs="Arial" w:eastAsia="Arial" w:hAnsi="Arial"/>
                <w:sz w:val="18"/>
                <w:szCs w:val="18"/>
                <w:color w:val="auto"/>
                <w:w w:val="94"/>
              </w:rPr>
              <w:t>Independent Contractor Agreement dated as of January 2, 2013 between Marriott Ownership Resorts, Inc. and RAMCO Advisors, LLC.*</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10.25</w:t>
            </w:r>
          </w:p>
        </w:tc>
        <w:tc>
          <w:tcPr>
            <w:tcW w:w="10580" w:type="dxa"/>
            <w:vAlign w:val="bottom"/>
          </w:tcPr>
          <w:p>
            <w:pPr>
              <w:ind w:left="340"/>
              <w:spacing w:after="0"/>
              <w:rPr>
                <w:sz w:val="20"/>
                <w:szCs w:val="20"/>
                <w:color w:val="auto"/>
              </w:rPr>
            </w:pPr>
            <w:r>
              <w:rPr>
                <w:rFonts w:ascii="Arial" w:cs="Arial" w:eastAsia="Arial" w:hAnsi="Arial"/>
                <w:sz w:val="18"/>
                <w:szCs w:val="18"/>
                <w:color w:val="auto"/>
                <w:w w:val="87"/>
              </w:rPr>
              <w:t>Second Amended and Restated Indenture and Servicing Agreement, entered into September 11, 2012 and dated as of September 1, 2012, among</w:t>
            </w:r>
          </w:p>
        </w:tc>
      </w:tr>
      <w:tr>
        <w:trPr>
          <w:trHeight w:val="216"/>
        </w:trPr>
        <w:tc>
          <w:tcPr>
            <w:tcW w:w="7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Marriott Vacations Worldwide Owner Trust 2011-1, Marriott Ownership Resorts, Inc., and Wells Fargo Bank, National Association (incorporated</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by reference to Exhibit 10.2 to the Company’s Current Report on Form 8-K filed on September 13, 2012).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10.26</w:t>
            </w:r>
          </w:p>
        </w:tc>
        <w:tc>
          <w:tcPr>
            <w:tcW w:w="10580" w:type="dxa"/>
            <w:vAlign w:val="bottom"/>
          </w:tcPr>
          <w:p>
            <w:pPr>
              <w:ind w:left="340"/>
              <w:spacing w:after="0"/>
              <w:rPr>
                <w:sz w:val="20"/>
                <w:szCs w:val="20"/>
                <w:color w:val="auto"/>
              </w:rPr>
            </w:pPr>
            <w:r>
              <w:rPr>
                <w:rFonts w:ascii="Arial" w:cs="Arial" w:eastAsia="Arial" w:hAnsi="Arial"/>
                <w:sz w:val="18"/>
                <w:szCs w:val="18"/>
                <w:color w:val="auto"/>
                <w:w w:val="88"/>
              </w:rPr>
              <w:t>Amended and Restated Sale Agreement, entered into September 11, 2012 and dated as of September 1, 2012, between MORI SPC Series Corp.</w:t>
            </w:r>
          </w:p>
        </w:tc>
      </w:tr>
      <w:tr>
        <w:trPr>
          <w:trHeight w:val="216"/>
        </w:trPr>
        <w:tc>
          <w:tcPr>
            <w:tcW w:w="7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and Marriott Vacations Worldwide Owner Trust 2011-1 (incorporated by reference to Exhibit 10.1 to the Company’s Current Report on Form 8-K</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filed on September 13, 2012).</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10.27</w:t>
            </w: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Omnibus Amendment No. 1, dated January 15, 2013, among Marriott Vacations Worldwide Corporation, Marriott Ownership Resorts, Inc. and</w:t>
            </w:r>
          </w:p>
        </w:tc>
      </w:tr>
      <w:tr>
        <w:trPr>
          <w:trHeight w:val="216"/>
        </w:trPr>
        <w:tc>
          <w:tcPr>
            <w:tcW w:w="720" w:type="dxa"/>
            <w:vAlign w:val="bottom"/>
          </w:tcPr>
          <w:p>
            <w:pPr>
              <w:spacing w:after="0"/>
              <w:rPr>
                <w:sz w:val="18"/>
                <w:szCs w:val="18"/>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90"/>
              </w:rPr>
              <w:t>the other parties named therein to, among other agreements, the Second Amended and Restated Indenture and Servicing Agreement filed as</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rPr>
              <w:t>Exhibit 10.25 hereto and the Amended and Restated Sale Agreement filed as Exhibit 10.22 hereto.</w:t>
            </w:r>
          </w:p>
        </w:tc>
      </w:tr>
      <w:tr>
        <w:trPr>
          <w:trHeight w:val="318"/>
        </w:trPr>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10.28</w:t>
            </w:r>
          </w:p>
        </w:tc>
        <w:tc>
          <w:tcPr>
            <w:tcW w:w="10580" w:type="dxa"/>
            <w:vAlign w:val="bottom"/>
          </w:tcPr>
          <w:p>
            <w:pPr>
              <w:ind w:left="340"/>
              <w:spacing w:after="0"/>
              <w:rPr>
                <w:sz w:val="20"/>
                <w:szCs w:val="20"/>
                <w:color w:val="auto"/>
              </w:rPr>
            </w:pPr>
            <w:r>
              <w:rPr>
                <w:rFonts w:ascii="Arial" w:cs="Arial" w:eastAsia="Arial" w:hAnsi="Arial"/>
                <w:sz w:val="18"/>
                <w:szCs w:val="18"/>
                <w:color w:val="auto"/>
                <w:w w:val="95"/>
              </w:rPr>
              <w:t>Amendment and Restatement Agreement, dated as of November 30, 2012, among Marriott Vacations Worldwide Corporation, Marriott</w:t>
            </w:r>
          </w:p>
        </w:tc>
      </w:tr>
      <w:tr>
        <w:trPr>
          <w:trHeight w:val="222"/>
        </w:trPr>
        <w:tc>
          <w:tcPr>
            <w:tcW w:w="720" w:type="dxa"/>
            <w:vAlign w:val="bottom"/>
          </w:tcPr>
          <w:p>
            <w:pPr>
              <w:spacing w:after="0"/>
              <w:rPr>
                <w:sz w:val="19"/>
                <w:szCs w:val="19"/>
                <w:color w:val="auto"/>
              </w:rPr>
            </w:pPr>
          </w:p>
        </w:tc>
        <w:tc>
          <w:tcPr>
            <w:tcW w:w="10580" w:type="dxa"/>
            <w:vAlign w:val="bottom"/>
          </w:tcPr>
          <w:p>
            <w:pPr>
              <w:ind w:left="340"/>
              <w:spacing w:after="0"/>
              <w:rPr>
                <w:sz w:val="20"/>
                <w:szCs w:val="20"/>
                <w:color w:val="auto"/>
              </w:rPr>
            </w:pPr>
            <w:r>
              <w:rPr>
                <w:rFonts w:ascii="Arial" w:cs="Arial" w:eastAsia="Arial" w:hAnsi="Arial"/>
                <w:sz w:val="18"/>
                <w:szCs w:val="18"/>
                <w:color w:val="auto"/>
                <w:w w:val="89"/>
              </w:rPr>
              <w:t>Ownership Resorts, Inc., certain subsidiaries of Marriott Vacations Worldwide Corporation, JPMorgan Chase Bank, N.A., and the several banks</w:t>
            </w:r>
          </w:p>
        </w:tc>
      </w:tr>
    </w:tbl>
    <w:p>
      <w:pPr>
        <w:ind w:left="1160" w:right="180"/>
        <w:spacing w:after="0" w:line="261" w:lineRule="auto"/>
        <w:rPr>
          <w:sz w:val="20"/>
          <w:szCs w:val="20"/>
          <w:color w:val="auto"/>
        </w:rPr>
      </w:pPr>
      <w:r>
        <w:rPr>
          <w:rFonts w:ascii="Arial" w:cs="Arial" w:eastAsia="Arial" w:hAnsi="Arial"/>
          <w:sz w:val="18"/>
          <w:szCs w:val="18"/>
          <w:color w:val="auto"/>
        </w:rPr>
        <w:t>and other financial institutions or entities from time to time parties thereto (incorporated by reference to Exhibit 10.1 to the Company’s Current Report on Form 8-K filed on November 30, 2012).</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10.29</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Amended and Restated Credit Agreement, dated as of November 30, 2012, among Marriott Vacations Worldwide Corporation, Marriott</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Ownership Resorts, Inc., the several banks and other financial institutions or entities from time to time parties thereto, JPMorgan Chase Bank,</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88"/>
              </w:rPr>
              <w:t>N.A., as administrative agent, Bank of America, N.A. and Deutsche Bank Securities Inc., as co-documentation agents, and Merrill Lynch, Pierce,</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Fenner &amp; Smith Incorporated and Deutsche Bank Securities Inc., as co-syndication agents (incorporated by reference to Exhibit 10.2 to the</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Company’s Current Report on Form 8-K filed on November 30, 2012).</w:t>
            </w:r>
          </w:p>
        </w:tc>
      </w:tr>
      <w:tr>
        <w:trPr>
          <w:trHeight w:val="318"/>
        </w:trPr>
        <w:tc>
          <w:tcPr>
            <w:tcW w:w="920" w:type="dxa"/>
            <w:vAlign w:val="bottom"/>
          </w:tcPr>
          <w:p>
            <w:pPr>
              <w:ind w:left="100"/>
              <w:spacing w:after="0"/>
              <w:rPr>
                <w:sz w:val="20"/>
                <w:szCs w:val="20"/>
                <w:color w:val="auto"/>
              </w:rPr>
            </w:pPr>
            <w:r>
              <w:rPr>
                <w:rFonts w:ascii="Arial" w:cs="Arial" w:eastAsia="Arial" w:hAnsi="Arial"/>
                <w:sz w:val="18"/>
                <w:szCs w:val="18"/>
                <w:color w:val="auto"/>
              </w:rPr>
              <w:t>10.30</w:t>
            </w:r>
          </w:p>
        </w:tc>
        <w:tc>
          <w:tcPr>
            <w:tcW w:w="10460" w:type="dxa"/>
            <w:vAlign w:val="bottom"/>
          </w:tcPr>
          <w:p>
            <w:pPr>
              <w:ind w:left="240"/>
              <w:spacing w:after="0"/>
              <w:rPr>
                <w:sz w:val="20"/>
                <w:szCs w:val="20"/>
                <w:color w:val="auto"/>
              </w:rPr>
            </w:pPr>
            <w:r>
              <w:rPr>
                <w:rFonts w:ascii="Arial" w:cs="Arial" w:eastAsia="Arial" w:hAnsi="Arial"/>
                <w:sz w:val="18"/>
                <w:szCs w:val="18"/>
                <w:color w:val="auto"/>
                <w:w w:val="95"/>
              </w:rPr>
              <w:t>Amended and Restated Guarantee and Collateral Agreement, dated as of November 30, 2012, made by Marriott Vacations Worldwide</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89"/>
              </w:rPr>
              <w:t>Corporation, Marriott Ownership Resorts, Inc. and certain subsidiaries of Marriott Vacations Worldwide Corporation in favor of JPMorgan Chase</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Bank, N.A., as administrative agent for the banks and other financial institutions or entities from time to time parties to the Amended and</w:t>
            </w:r>
          </w:p>
        </w:tc>
      </w:tr>
      <w:tr>
        <w:trPr>
          <w:trHeight w:val="216"/>
        </w:trPr>
        <w:tc>
          <w:tcPr>
            <w:tcW w:w="920" w:type="dxa"/>
            <w:vAlign w:val="bottom"/>
          </w:tcPr>
          <w:p>
            <w:pPr>
              <w:spacing w:after="0"/>
              <w:rPr>
                <w:sz w:val="18"/>
                <w:szCs w:val="18"/>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w w:val="89"/>
              </w:rPr>
              <w:t>Restated Credit Agreement filed as Exhibit 10.29 (incorporated by reference to Exhibit 10.3 to the Company’s Current Report on Form 8-K filed</w:t>
            </w:r>
          </w:p>
        </w:tc>
      </w:tr>
      <w:tr>
        <w:trPr>
          <w:trHeight w:val="222"/>
        </w:trPr>
        <w:tc>
          <w:tcPr>
            <w:tcW w:w="920" w:type="dxa"/>
            <w:vAlign w:val="bottom"/>
          </w:tcPr>
          <w:p>
            <w:pPr>
              <w:spacing w:after="0"/>
              <w:rPr>
                <w:sz w:val="19"/>
                <w:szCs w:val="19"/>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on November 30, 2012).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10460" w:type="dxa"/>
            <w:vAlign w:val="bottom"/>
          </w:tcPr>
          <w:p>
            <w:pPr>
              <w:ind w:left="240"/>
              <w:spacing w:after="0"/>
              <w:rPr>
                <w:sz w:val="20"/>
                <w:szCs w:val="20"/>
                <w:color w:val="auto"/>
              </w:rPr>
            </w:pPr>
            <w:r>
              <w:rPr>
                <w:rFonts w:ascii="Arial" w:cs="Arial" w:eastAsia="Arial" w:hAnsi="Arial"/>
                <w:sz w:val="18"/>
                <w:szCs w:val="18"/>
                <w:color w:val="auto"/>
              </w:rPr>
              <w:t>Subsidiaries of Marriott Vacations Worldwide Corporation.</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24.1</w:t>
            </w:r>
          </w:p>
        </w:tc>
        <w:tc>
          <w:tcPr>
            <w:tcW w:w="10460" w:type="dxa"/>
            <w:vAlign w:val="bottom"/>
          </w:tcPr>
          <w:p>
            <w:pPr>
              <w:ind w:left="240"/>
              <w:spacing w:after="0"/>
              <w:rPr>
                <w:sz w:val="20"/>
                <w:szCs w:val="20"/>
                <w:color w:val="auto"/>
              </w:rPr>
            </w:pPr>
            <w:r>
              <w:rPr>
                <w:rFonts w:ascii="Arial" w:cs="Arial" w:eastAsia="Arial" w:hAnsi="Arial"/>
                <w:sz w:val="18"/>
                <w:szCs w:val="18"/>
                <w:color w:val="auto"/>
              </w:rPr>
              <w:t>Powers of Attorney (included on the signature pages hereto).</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32.2</w:t>
            </w:r>
          </w:p>
        </w:tc>
        <w:tc>
          <w:tcPr>
            <w:tcW w:w="1046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We have attached the following documents formatted in XBRL (Extensible Business Reporting Language) as Exhibit 101 to this report: (i) Consolidated Statements of Operations for the fiscal years ended December 28, 2012, December 30, 2011 and December 31, 2010; (ii) the Consolidated Statements of Comprehensive Income (Loss) for the fiscal years ended December 28, 2012, December 30, 2011 and December 31, 2010; (iii) the Consolidated Balance Sheets at December 28, 2012 and December 30, 2011; (iv) the Consolidated Statements of Cash Flows for the fiscal years ended December 28, 2012, December 30, 2011 and December 31, 2010; and (v) the Consolidated Statements of Shareholders’ Equity for the fiscal years ended December 28, 2012, December 30, 2011</w:t>
      </w:r>
    </w:p>
    <w:p>
      <w:pPr>
        <w:spacing w:after="0" w:line="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and December 31, 2010. Pursuant to Rule 406T of Regulation S-T, the interactive data files in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574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5200" w:type="dxa"/>
            <w:vAlign w:val="bottom"/>
            <w:gridSpan w:val="9"/>
            <w:vMerge w:val="continue"/>
          </w:tcPr>
          <w:p>
            <w:pPr>
              <w:spacing w:after="0"/>
              <w:rPr>
                <w:sz w:val="16"/>
                <w:szCs w:val="16"/>
                <w:color w:val="auto"/>
              </w:rPr>
            </w:pPr>
          </w:p>
        </w:tc>
        <w:tc>
          <w:tcPr>
            <w:tcW w:w="5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800" w:type="dxa"/>
            <w:vAlign w:val="bottom"/>
            <w:tcBorders>
              <w:bottom w:val="single" w:sz="8" w:color="0000EE"/>
            </w:tcBorders>
            <w:gridSpan w:val="8"/>
          </w:tcPr>
          <w:p>
            <w:pPr>
              <w:spacing w:after="0" w:line="184"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Management’s Report on Internal Control Over Financial Reporting</w:t>
              </w:r>
            </w:hyperlink>
          </w:p>
        </w:tc>
        <w:tc>
          <w:tcPr>
            <w:tcW w:w="40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Report of Independent Registered Public Accounting Firm</w:t>
              </w:r>
            </w:hyperlink>
          </w:p>
        </w:tc>
        <w:tc>
          <w:tcPr>
            <w:tcW w:w="1060" w:type="dxa"/>
            <w:vAlign w:val="bottom"/>
            <w:gridSpan w:val="2"/>
          </w:tcPr>
          <w:p>
            <w:pPr>
              <w:spacing w:after="0"/>
              <w:rPr>
                <w:sz w:val="17"/>
                <w:szCs w:val="17"/>
                <w:color w:val="auto"/>
              </w:rPr>
            </w:pPr>
          </w:p>
        </w:tc>
        <w:tc>
          <w:tcPr>
            <w:tcW w:w="5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5200" w:type="dxa"/>
            <w:vAlign w:val="bottom"/>
            <w:gridSpan w:val="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Report of Independent Registered Public Accounting Firm</w:t>
              </w:r>
            </w:hyperlink>
          </w:p>
        </w:tc>
        <w:tc>
          <w:tcPr>
            <w:tcW w:w="5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Consolidated Statements of Operations</w:t>
              </w:r>
            </w:hyperlink>
          </w:p>
        </w:tc>
        <w:tc>
          <w:tcPr>
            <w:tcW w:w="1360" w:type="dxa"/>
            <w:vAlign w:val="bottom"/>
            <w:tcBorders>
              <w:top w:val="single" w:sz="8" w:color="0000EE"/>
            </w:tcBorders>
            <w:gridSpan w:val="4"/>
          </w:tcPr>
          <w:p>
            <w:pPr>
              <w:spacing w:after="0"/>
              <w:rPr>
                <w:sz w:val="17"/>
                <w:szCs w:val="17"/>
                <w:color w:val="auto"/>
              </w:rPr>
            </w:pPr>
          </w:p>
        </w:tc>
        <w:tc>
          <w:tcPr>
            <w:tcW w:w="1080" w:type="dxa"/>
            <w:vAlign w:val="bottom"/>
            <w:gridSpan w:val="3"/>
          </w:tcPr>
          <w:p>
            <w:pPr>
              <w:spacing w:after="0"/>
              <w:rPr>
                <w:sz w:val="17"/>
                <w:szCs w:val="17"/>
                <w:color w:val="auto"/>
              </w:rPr>
            </w:pPr>
          </w:p>
        </w:tc>
        <w:tc>
          <w:tcPr>
            <w:tcW w:w="5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5200" w:type="dxa"/>
            <w:vAlign w:val="bottom"/>
            <w:gridSpan w:val="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Comprehensive Income (Loss)</w:t>
              </w:r>
            </w:hyperlink>
          </w:p>
        </w:tc>
        <w:tc>
          <w:tcPr>
            <w:tcW w:w="5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Balance Sheets</w:t>
              </w:r>
            </w:hyperlink>
          </w:p>
        </w:tc>
        <w:tc>
          <w:tcPr>
            <w:tcW w:w="1060" w:type="dxa"/>
            <w:vAlign w:val="bottom"/>
            <w:gridSpan w:val="2"/>
          </w:tcPr>
          <w:p>
            <w:pPr>
              <w:spacing w:after="0"/>
              <w:rPr>
                <w:sz w:val="17"/>
                <w:szCs w:val="17"/>
                <w:color w:val="auto"/>
              </w:rPr>
            </w:pPr>
          </w:p>
        </w:tc>
        <w:tc>
          <w:tcPr>
            <w:tcW w:w="5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0" w:type="dxa"/>
            <w:vAlign w:val="bottom"/>
            <w:gridSpan w:val="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Cash Flows</w:t>
              </w:r>
            </w:hyperlink>
          </w:p>
        </w:tc>
        <w:tc>
          <w:tcPr>
            <w:tcW w:w="5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4">
              <w:r>
                <w:rPr>
                  <w:rFonts w:ascii="Arial" w:cs="Arial" w:eastAsia="Arial" w:hAnsi="Arial"/>
                  <w:sz w:val="18"/>
                  <w:szCs w:val="18"/>
                  <w:color w:val="0000EE"/>
                  <w:w w:val="88"/>
                </w:rPr>
                <w:t>Consolidated Statements of Shareholders’ Equity</w:t>
              </w:r>
            </w:hyperlink>
          </w:p>
        </w:tc>
        <w:tc>
          <w:tcPr>
            <w:tcW w:w="1720" w:type="dxa"/>
            <w:vAlign w:val="bottom"/>
            <w:gridSpan w:val="4"/>
          </w:tcPr>
          <w:p>
            <w:pPr>
              <w:spacing w:after="0"/>
              <w:rPr>
                <w:sz w:val="17"/>
                <w:szCs w:val="17"/>
                <w:color w:val="auto"/>
              </w:rPr>
            </w:pPr>
          </w:p>
        </w:tc>
        <w:tc>
          <w:tcPr>
            <w:tcW w:w="5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5200" w:type="dxa"/>
            <w:vAlign w:val="bottom"/>
            <w:gridSpan w:val="9"/>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574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w w:val="97"/>
              </w:rPr>
              <w:t>F-10</w:t>
            </w:r>
          </w:p>
        </w:tc>
        <w:tc>
          <w:tcPr>
            <w:tcW w:w="0" w:type="dxa"/>
            <w:vAlign w:val="bottom"/>
          </w:tcPr>
          <w:p>
            <w:pPr>
              <w:spacing w:after="0"/>
              <w:rPr>
                <w:sz w:val="1"/>
                <w:szCs w:val="1"/>
                <w:color w:val="auto"/>
              </w:rPr>
            </w:pP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120" w:type="dxa"/>
            <w:vAlign w:val="bottom"/>
            <w:gridSpan w:val="2"/>
          </w:tcPr>
          <w:p>
            <w:pPr>
              <w:jc w:val="right"/>
              <w:ind w:right="5394"/>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65"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Management of Marriott Vacations Worldwide Corporation (the “Company”) is responsible for establishing and maintaining adequate internal control over financial reporting and for the assessment of the effectiveness of internal control over financial reporting. The Company’s internal control over financial reporting is designed to provide reasonable assurance on the reliability of financial reporting and the preparation of the consolidated financial statements in accordance with U.S. generally accepted accounting principles.</w:t>
      </w:r>
    </w:p>
    <w:p>
      <w:pPr>
        <w:spacing w:after="0" w:line="143"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(1) pertain to the maintenance of records that, in reasonable detail, accurately and fairly reflect the Company’s transactions and dispositions of the Company’s assets; (2) provide reasonable assurance that transactions are recorded as necessary to permit preparation of the consolidated financial statements in accordance with U.S. generally accepted accounting principles, and that receipts and expenditures of the Company are being made only in accordance with authorizations of the Company’s management and directors; and (3) provide reasonable assurance on prevention or timely detection of unauthorized acquisition, use or disposition of the Company’s assets that could have a material effect on the consolidated financial statements.</w:t>
      </w:r>
    </w:p>
    <w:p>
      <w:pPr>
        <w:spacing w:after="0" w:line="12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In connection with the preparation of the Company’s annual consolidated financial statements, management has undertaken an assessment of the effectiveness of the Company’s internal control over financial reporting as of December 28, 2012, based on criteria established in Internal Control-Integrated Framework issued by the Committee of Sponsoring Organizations of the Treadway Commission (the “COSO criteria”).</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Based on this assessment, management has concluded that, applying the COSO criteria, as of December 28, 2012, the Company’s internal control over financial reporting was effective to provide reasonable assurance of the reliability of financial reporting and the preparation of financial statements for external purposes in accordance with U.S. generally accepted accounting principles.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Ernst &amp; Young LLP, the independent registered public accounting firm that audited the Company’s consolidated financial statements included in this report, has issued a report on the effectiveness of the Company’s internal control over financial reporting, a copy of which appears on the next page of this Annual Report on Form 10-K.</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8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Marriott Vacations Worldwide Corporation:</w:t>
      </w:r>
    </w:p>
    <w:p>
      <w:pPr>
        <w:spacing w:after="0" w:line="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audited Marriott Vacations Worldwide Corporation’s internal control over financial reporting as of December 28, 2012, based on criteria established in Internal Control—Integrated Framework issued by the Committee of Sponsoring Organizations of the Treadway Commission (the COSO criteria). Marriott Vacations Worldwide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our opinion, Marriott Vacations Worldwide Corporation maintained, in all material respects, effective internal control over financial reporting as of December 28, 2012, based on the COSO criteria.</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Marriott Vacations Worldwide Corporation as of December 28, 2012 and December 30, 2011, and the related consolidated statements of operations, comprehensive income (loss), shareholders’ equity, and cash flows for each of the three fiscal years in the period ended December 28, 2012 and our report dated February 22, 2013 expressed an unqualified opinion thereon.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0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Marriott Vacations Worldwide Corporation:</w:t>
      </w:r>
    </w:p>
    <w:p>
      <w:pPr>
        <w:spacing w:after="0" w:line="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as of December 28, 2012 and December 30, 2011, and the related consolidated statements of operations, comprehensive income (loss), shareholders’ equity, and cash flows for each of the three fiscal years in the period ended December 28, 2012.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Marriott Vacations Worldwide Corporation at December 28, 2012 and December 30, 2011, and the consolidated results of its operations and its cash flows for each of the three fiscal years in the period ended December 28, 2012 in conformity with U.S. generally accepted accounting principles.</w:t>
      </w:r>
    </w:p>
    <w:p>
      <w:pPr>
        <w:spacing w:after="0" w:line="10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Marriott Vacations Worldwide Corporation’s internal control over financial reporting as of December 31, 2012, based on criteria established in Internal Control-Integrated Framework issued by the Committee of Sponsoring Organizations of the Treadway Commission and our report dated February 22, 2013 expressed an unqualified opinion thereon.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2012</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2011</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Sale of vacation ownership products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627</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6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1,613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Litigation settlement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Organizational and separation related</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20"/>
              <w:spacing w:after="0"/>
              <w:rPr>
                <w:sz w:val="20"/>
                <w:szCs w:val="20"/>
                <w:color w:val="auto"/>
              </w:rPr>
            </w:pPr>
            <w:r>
              <w:rPr>
                <w:rFonts w:ascii="Arial" w:cs="Arial" w:eastAsia="Arial" w:hAnsi="Arial"/>
                <w:sz w:val="18"/>
                <w:szCs w:val="18"/>
                <w:color w:val="auto"/>
              </w:rPr>
              <w:t>Cost reimbursements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1,623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980" w:type="dxa"/>
            <w:vAlign w:val="bottom"/>
            <w:gridSpan w:val="2"/>
          </w:tcPr>
          <w:p>
            <w:pPr>
              <w:spacing w:after="0"/>
              <w:rPr>
                <w:sz w:val="20"/>
                <w:szCs w:val="20"/>
                <w:color w:val="auto"/>
              </w:rPr>
            </w:pPr>
            <w:r>
              <w:rPr>
                <w:rFonts w:ascii="Arial" w:cs="Arial" w:eastAsia="Arial" w:hAnsi="Arial"/>
                <w:sz w:val="18"/>
                <w:szCs w:val="18"/>
                <w:color w:val="auto"/>
              </w:rPr>
              <w:t>Gains and other income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Impairment reversals on equity investment</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89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980" w:type="dxa"/>
            <w:vAlign w:val="bottom"/>
            <w:gridSpan w:val="2"/>
          </w:tcPr>
          <w:p>
            <w:pPr>
              <w:spacing w:after="0"/>
              <w:rPr>
                <w:sz w:val="20"/>
                <w:szCs w:val="20"/>
                <w:color w:val="auto"/>
              </w:rPr>
            </w:pPr>
            <w:r>
              <w:rPr>
                <w:rFonts w:ascii="Arial" w:cs="Arial" w:eastAsia="Arial" w:hAnsi="Arial"/>
                <w:sz w:val="18"/>
                <w:szCs w:val="18"/>
                <w:color w:val="auto"/>
              </w:rPr>
              <w:t>Basic earnings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0.46</w:t>
            </w:r>
          </w:p>
        </w:tc>
        <w:tc>
          <w:tcPr>
            <w:tcW w:w="240" w:type="dxa"/>
            <w:vAlign w:val="bottom"/>
          </w:tcPr>
          <w:p>
            <w:pPr>
              <w:spacing w:after="0"/>
              <w:rPr>
                <w:sz w:val="24"/>
                <w:szCs w:val="24"/>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earnings (loss) per share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0.44</w:t>
            </w:r>
          </w:p>
        </w:tc>
        <w:tc>
          <w:tcPr>
            <w:tcW w:w="240" w:type="dxa"/>
            <w:vAlign w:val="bottom"/>
          </w:tcPr>
          <w:p>
            <w:pPr>
              <w:spacing w:after="0"/>
              <w:rPr>
                <w:sz w:val="20"/>
                <w:szCs w:val="20"/>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earnings (loss) per share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7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5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$(178)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5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Total other comprehensive income (loss), net of tax</w:t>
            </w:r>
          </w:p>
        </w:tc>
        <w:tc>
          <w:tcPr>
            <w:tcW w:w="5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gridSpan w:val="2"/>
            <w:vMerge w:val="continue"/>
          </w:tcPr>
          <w:p>
            <w:pPr>
              <w:spacing w:after="0"/>
              <w:rPr>
                <w:sz w:val="19"/>
                <w:szCs w:val="19"/>
                <w:color w:val="auto"/>
              </w:rPr>
            </w:pPr>
          </w:p>
        </w:tc>
        <w:tc>
          <w:tcPr>
            <w:tcW w:w="5140" w:type="dxa"/>
            <w:vAlign w:val="bottom"/>
          </w:tcPr>
          <w:p>
            <w:pPr>
              <w:spacing w:after="0"/>
              <w:rPr>
                <w:sz w:val="19"/>
                <w:szCs w:val="19"/>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57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(187)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720" w:type="dxa"/>
            <w:vAlign w:val="bottom"/>
            <w:gridSpan w:val="3"/>
          </w:tcPr>
          <w:p>
            <w:pPr>
              <w:jc w:val="right"/>
              <w:ind w:right="4480"/>
              <w:spacing w:after="0"/>
              <w:rPr>
                <w:sz w:val="20"/>
                <w:szCs w:val="20"/>
                <w:color w:val="auto"/>
              </w:rPr>
            </w:pPr>
            <w:r>
              <w:rPr>
                <w:rFonts w:ascii="Arial" w:cs="Arial" w:eastAsia="Arial" w:hAnsi="Arial"/>
                <w:sz w:val="18"/>
                <w:szCs w:val="18"/>
                <w:color w:val="auto"/>
              </w:rPr>
              <w:t>F-6</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Year-End 2012 and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00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$31 and $42 from VIEs,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Accounts and contracts receivable (including $5 and $0 from VIEs, respectively)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notes receivable (including $727 and $910 from VIEs,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Other (including $0 and $6 from VIEs, respectively)</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2,604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2,845</w:t>
            </w:r>
          </w:p>
        </w:tc>
        <w:tc>
          <w:tcPr>
            <w:tcW w:w="0" w:type="dxa"/>
            <w:vAlign w:val="bottom"/>
          </w:tcPr>
          <w:p>
            <w:pPr>
              <w:spacing w:after="0"/>
              <w:rPr>
                <w:sz w:val="1"/>
                <w:szCs w:val="1"/>
                <w:color w:val="auto"/>
              </w:rPr>
            </w:pPr>
          </w:p>
        </w:tc>
      </w:tr>
      <w:tr>
        <w:trPr>
          <w:trHeight w:val="20"/>
        </w:trPr>
        <w:tc>
          <w:tcPr>
            <w:tcW w:w="10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0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Advance deposits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 (including $1 and $0 from VIEs,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Payroll and benefits liability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Debt (including $674 and $847 from VIEs,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Other (including $0 and $2 from VIEs, respectively)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1,453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Contingencies and Commitments (Note 9)</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000" w:type="dxa"/>
            <w:vAlign w:val="bottom"/>
            <w:gridSpan w:val="2"/>
          </w:tcPr>
          <w:p>
            <w:pPr>
              <w:spacing w:after="0"/>
              <w:rPr>
                <w:sz w:val="20"/>
                <w:szCs w:val="20"/>
                <w:color w:val="auto"/>
              </w:rPr>
            </w:pPr>
            <w:r>
              <w:rPr>
                <w:rFonts w:ascii="Arial" w:cs="Arial" w:eastAsia="Arial" w:hAnsi="Arial"/>
                <w:sz w:val="18"/>
                <w:szCs w:val="18"/>
                <w:color w:val="auto"/>
              </w:rPr>
              <w:t>Preferred stock, $.01 par value; 2,000,000 shares authorized; none issued or outstanding</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w w:val="91"/>
              </w:rPr>
              <w:t>Common stock, $.01 par value; 100,000,000 shares authorized; 35,026,533 and 33,845,700 shares issued and outstanding,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1,151</w:t>
            </w: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8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2,604</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16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disposal of property and equipment, net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(income) loss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reversals on equity investment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Net change in assets and liabilities: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and contracts receivable</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Notes receivable originations</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(262)</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 collections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311</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Accounts payable, advance deposits and accrued liabilities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Liability for Marriott Rewards customer loyalty program</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Payroll and benefit liabilities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Deferred compensation liability</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Note collections</w:t>
            </w: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in restricted cash</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Dispositions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from securitization transactions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238</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Repayment of debt related to securitizations</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(411)</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 on Revolving Corporate Credit Facility</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Repayments on Revolving Corporate Credit Facility</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Repayment of third party debt</w:t>
            </w: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exercises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Excess tax benefits from share-based compensation</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Net distribution to Marriott International</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rPr>
              <w:t>(172)</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420"/>
              <w:spacing w:after="0"/>
              <w:rPr>
                <w:sz w:val="20"/>
                <w:szCs w:val="20"/>
                <w:color w:val="auto"/>
              </w:rPr>
            </w:pPr>
            <w:r>
              <w:rPr>
                <w:rFonts w:ascii="Arial" w:cs="Arial" w:eastAsia="Arial" w:hAnsi="Arial"/>
                <w:sz w:val="18"/>
                <w:szCs w:val="18"/>
                <w:color w:val="auto"/>
              </w:rPr>
              <w:t>Effect of changes in exchange rates on cash and cash equivalents</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EQUIVALENTS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w:t>
            </w: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Non-cash reduction of Additional paid-in capital for increase in Deferred tax liabilities distributed to Marriott Vacations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Worldwide at Spin-Off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w w:val="97"/>
              </w:rPr>
              <w:t>Non-cash reduction of Additional paid-in capital for elimination of a receivable from Marriott International at Spin-Off</w:t>
            </w:r>
          </w:p>
        </w:tc>
        <w:tc>
          <w:tcPr>
            <w:tcW w:w="1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assumption of other debt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Non-cash settlement of transactions with Marriott International through equity</w:t>
            </w: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478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preferred stock to Marriott International</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Equity distribution payable to Marriott International</w:t>
            </w:r>
          </w:p>
        </w:tc>
        <w:tc>
          <w:tcPr>
            <w:tcW w:w="10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for exercise of stock options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566"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2012,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Accumulated</w:t>
            </w: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87"/>
              </w:rPr>
              <w:t>Additional</w:t>
            </w:r>
          </w:p>
        </w:tc>
        <w:tc>
          <w:tcPr>
            <w:tcW w:w="160" w:type="dxa"/>
            <w:vAlign w:val="bottom"/>
          </w:tcPr>
          <w:p>
            <w:pPr>
              <w:spacing w:after="0"/>
              <w:rPr>
                <w:sz w:val="11"/>
                <w:szCs w:val="11"/>
                <w:color w:val="auto"/>
              </w:rPr>
            </w:pPr>
          </w:p>
        </w:tc>
        <w:tc>
          <w:tcPr>
            <w:tcW w:w="112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90"/>
              </w:rPr>
              <w:t>Other</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240" w:type="dxa"/>
            <w:vAlign w:val="bottom"/>
            <w:tcBorders>
              <w:bottom w:val="single" w:sz="8" w:color="auto"/>
            </w:tcBorders>
            <w:gridSpan w:val="3"/>
          </w:tcPr>
          <w:p>
            <w:pPr>
              <w:jc w:val="right"/>
              <w:ind w:right="93"/>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4"/>
              </w:rPr>
              <w:t>Divisional</w:t>
            </w: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Comprehensive</w:t>
            </w: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5"/>
                <w:szCs w:val="15"/>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Shares</w:t>
            </w:r>
          </w:p>
        </w:tc>
        <w:tc>
          <w:tcPr>
            <w:tcW w:w="3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360" w:type="dxa"/>
            <w:vAlign w:val="bottom"/>
          </w:tcPr>
          <w:p>
            <w:pPr>
              <w:spacing w:after="0"/>
              <w:rPr>
                <w:sz w:val="12"/>
                <w:szCs w:val="12"/>
                <w:color w:val="auto"/>
              </w:rPr>
            </w:pPr>
          </w:p>
        </w:tc>
        <w:tc>
          <w:tcPr>
            <w:tcW w:w="9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Equity</w:t>
            </w:r>
          </w:p>
        </w:tc>
        <w:tc>
          <w:tcPr>
            <w:tcW w:w="10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120" w:type="dxa"/>
            <w:vAlign w:val="bottom"/>
            <w:gridSpan w:val="2"/>
          </w:tcPr>
          <w:p>
            <w:pPr>
              <w:jc w:val="center"/>
              <w:ind w:right="520"/>
              <w:spacing w:after="0" w:line="142" w:lineRule="exact"/>
              <w:rPr>
                <w:sz w:val="20"/>
                <w:szCs w:val="20"/>
                <w:color w:val="auto"/>
              </w:rPr>
            </w:pPr>
            <w:r>
              <w:rPr>
                <w:rFonts w:ascii="Arial" w:cs="Arial" w:eastAsia="Arial" w:hAnsi="Arial"/>
                <w:sz w:val="14"/>
                <w:szCs w:val="14"/>
                <w:b w:val="1"/>
                <w:bCs w:val="1"/>
                <w:color w:val="auto"/>
                <w:w w:val="89"/>
              </w:rPr>
              <w:t>Income</w:t>
            </w: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2009</w:t>
            </w:r>
          </w:p>
        </w:tc>
        <w:tc>
          <w:tcPr>
            <w:tcW w:w="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Impact of adoption of ASU 2009-17</w:t>
            </w:r>
            <w:r>
              <w:rPr>
                <w:rFonts w:ascii="Arial" w:cs="Arial" w:eastAsia="Arial" w:hAnsi="Arial"/>
                <w:sz w:val="11"/>
                <w:szCs w:val="11"/>
                <w:color w:val="auto"/>
              </w:rPr>
              <w:t>(1)</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(141)</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Opening balance 2010</w:t>
            </w:r>
          </w:p>
        </w:tc>
        <w:tc>
          <w:tcPr>
            <w:tcW w:w="4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6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Net transfers to Parent</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year-end 2010</w:t>
            </w:r>
          </w:p>
        </w:tc>
        <w:tc>
          <w:tcPr>
            <w:tcW w:w="4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3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(176)</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(9)</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related to equity-based compensation</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w w:val="95"/>
              </w:rPr>
              <w:t>Reclassification of Parent Company investment to Additional paid-</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gridSpan w:val="2"/>
          </w:tcPr>
          <w:p>
            <w:pPr>
              <w:ind w:left="200"/>
              <w:spacing w:after="0"/>
              <w:rPr>
                <w:sz w:val="20"/>
                <w:szCs w:val="20"/>
                <w:color w:val="auto"/>
              </w:rPr>
            </w:pPr>
            <w:r>
              <w:rPr>
                <w:rFonts w:ascii="Arial" w:cs="Arial" w:eastAsia="Arial" w:hAnsi="Arial"/>
                <w:sz w:val="18"/>
                <w:szCs w:val="18"/>
                <w:color w:val="auto"/>
              </w:rPr>
              <w:t>in capital</w:t>
            </w:r>
            <w:r>
              <w:rPr>
                <w:rFonts w:ascii="Arial" w:cs="Arial" w:eastAsia="Arial" w:hAnsi="Arial"/>
                <w:sz w:val="11"/>
                <w:szCs w:val="11"/>
                <w:color w:val="auto"/>
              </w:rPr>
              <w:t>(2)</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320"/>
              <w:spacing w:after="0"/>
              <w:rPr>
                <w:sz w:val="20"/>
                <w:szCs w:val="20"/>
                <w:color w:val="auto"/>
              </w:rPr>
            </w:pPr>
            <w:r>
              <w:rPr>
                <w:rFonts w:ascii="Arial" w:cs="Arial" w:eastAsia="Arial" w:hAnsi="Arial"/>
                <w:sz w:val="18"/>
                <w:szCs w:val="18"/>
                <w:color w:val="auto"/>
              </w:rPr>
              <w:t>(1,113)</w:t>
            </w:r>
          </w:p>
        </w:tc>
        <w:tc>
          <w:tcPr>
            <w:tcW w:w="620" w:type="dxa"/>
            <w:vAlign w:val="bottom"/>
          </w:tcPr>
          <w:p>
            <w:pPr>
              <w:jc w:val="right"/>
              <w:spacing w:after="0"/>
              <w:rPr>
                <w:sz w:val="20"/>
                <w:szCs w:val="20"/>
                <w:color w:val="auto"/>
              </w:rPr>
            </w:pPr>
            <w:r>
              <w:rPr>
                <w:rFonts w:ascii="Arial" w:cs="Arial" w:eastAsia="Arial" w:hAnsi="Arial"/>
                <w:sz w:val="18"/>
                <w:szCs w:val="18"/>
                <w:color w:val="auto"/>
              </w:rPr>
              <w:t>1,113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distribution to Marriott International</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5060" w:type="dxa"/>
            <w:vAlign w:val="bottom"/>
            <w:gridSpan w:val="3"/>
            <w:vMerge w:val="restart"/>
          </w:tcPr>
          <w:p>
            <w:pPr>
              <w:spacing w:after="0"/>
              <w:rPr>
                <w:sz w:val="20"/>
                <w:szCs w:val="20"/>
                <w:color w:val="auto"/>
              </w:rPr>
            </w:pPr>
            <w:r>
              <w:rPr>
                <w:rFonts w:ascii="Arial" w:cs="Arial" w:eastAsia="Arial" w:hAnsi="Arial"/>
                <w:sz w:val="18"/>
                <w:szCs w:val="18"/>
                <w:color w:val="auto"/>
              </w:rPr>
              <w:t>Balance at year-end 2011</w:t>
            </w:r>
          </w:p>
        </w:tc>
        <w:tc>
          <w:tcPr>
            <w:tcW w:w="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gridSpan w:val="3"/>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Adjustment to reclassification of Marriott International investment</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 Additional paid-in capital</w:t>
            </w:r>
            <w:r>
              <w:rPr>
                <w:rFonts w:ascii="Arial" w:cs="Arial" w:eastAsia="Arial" w:hAnsi="Arial"/>
                <w:sz w:val="11"/>
                <w:szCs w:val="11"/>
                <w:color w:val="auto"/>
              </w:rPr>
              <w:t>(3)</w:t>
            </w:r>
          </w:p>
        </w:tc>
        <w:tc>
          <w:tcPr>
            <w:tcW w:w="4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Amounts related to share-based compensation</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year-end 2012</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1,116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9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abbreviation ASU means Accounting Standards Update.</w:t>
      </w:r>
    </w:p>
    <w:p>
      <w:pPr>
        <w:spacing w:after="0" w:line="15" w:lineRule="exact"/>
        <w:rPr>
          <w:rFonts w:ascii="Arial" w:cs="Arial" w:eastAsia="Arial" w:hAnsi="Arial"/>
          <w:sz w:val="18"/>
          <w:szCs w:val="18"/>
          <w:color w:val="auto"/>
        </w:rPr>
      </w:pPr>
    </w:p>
    <w:p>
      <w:pPr>
        <w:ind w:left="460" w:right="44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Upon the effective date of the Spin-Off, Marriott Vacations Worldwide’s Divisional equity was reclassified and allocated between Common stock and Additional paid-in capital based on the number of shares of Marriott Vacations Worldwide common stock issued and outstanding.</w:t>
      </w:r>
    </w:p>
    <w:p>
      <w:pPr>
        <w:spacing w:after="0" w:line="1" w:lineRule="exact"/>
        <w:rPr>
          <w:rFonts w:ascii="Arial" w:cs="Arial" w:eastAsia="Arial" w:hAnsi="Arial"/>
          <w:sz w:val="16"/>
          <w:szCs w:val="16"/>
          <w:color w:val="auto"/>
        </w:rPr>
      </w:pPr>
    </w:p>
    <w:p>
      <w:pPr>
        <w:ind w:left="460" w:right="180" w:hanging="452"/>
        <w:spacing w:after="0" w:line="323"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Primarily consists of an adjustment to Deferred tax liabilities for changes in the valuation of Marriott Vacations Worldwide at the time of the Spin-Off, an adjustment to a receivable from Marriott International and other adjustments to the Deferred tax liabilities at the time of Spin-Off.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ind w:right="6660" w:firstLine="8"/>
        <w:spacing w:after="0" w:line="347" w:lineRule="auto"/>
        <w:tabs>
          <w:tab w:leader="none" w:pos="17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Our Business</w:t>
      </w:r>
    </w:p>
    <w:p>
      <w:pPr>
        <w:spacing w:after="0" w:line="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Inc. (“Marriott International”), generally provides on-site management for Ritz-Carlton branded properties.</w:t>
      </w:r>
    </w:p>
    <w:p>
      <w:pPr>
        <w:spacing w:after="0" w:line="12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business is grouped into four reportable segments: North America, Luxury, Europe and Asia Pacific. We operate 64 properties in the United States and nine other countries and territories.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November 21, 2011, the spin-off of Marriott Vacations Worldwide from Marriott International (the “Spin-Off”) was completed pursuant to a Separation and Distribution Agreement (the “Separation and Distribution Agreement”) between Marriott Vacations Worldwide and Marriott International. Marriott Vacations Worldwide became an independent public company as a result of the distribution pursuant to the Spin-Off of 100 percent of the outstanding shares of Marriott Vacations Worldwide common stock to the shareholders of Marriott International.</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Prior to the Spin-Off, Marriott International completed an internal reorganization to contribute its non-U.S. and U.S. subsidiaries that conducted its vacation ownership business to Marriott Vacations Worldwide, a newly formed wholly owned subsidiary of Marriott International; the contributed subsidiaries included Marriott Ownership Resorts, Inc., which does business under the name Marriott Vacation Club International. The distribution of Marriott Vacations Worldwide common stock was made on November 21, 2011, with Marriott International shareholders receiving one share of Marriott Vacations Worldwide common stock for every ten shares of Marriott International common stock held as of the close of business Eastern time on the record date of November 10, 2011. Fractional shares of Marriott Vacations Worldwide common stock were not distributed; any fractional share of Marriott Vacations Worldwide common stock otherwise issuable to a Marriott International shareholder was sold in the open market on such shareholder’s behalf, with such shareholders receiving a cash payment in lieu of such fractional share.</w:t>
      </w:r>
    </w:p>
    <w:p>
      <w:pPr>
        <w:spacing w:after="0" w:line="11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 connection with the Spin-Off, we entered into the Separation and Distribution Agreement and several other agreements which govern the ongoing relationship between Marriott Vacations Worldwide and Marriott International.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the consolidation accounting guidance. Through the date of the Spin-Off, these financial statements present the historical consolidated results of operations, financial position and cash flows of the Marriott Vacations Worldwide business that now comprises our operations. Intercompany accounts and transactions between consolidated companies have been eliminated in consolidation.</w:t>
      </w:r>
    </w:p>
    <w:p>
      <w:pPr>
        <w:spacing w:after="0" w:line="14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Through the date of the Spin-Off, the consolidated financial statements presented herein, and discussed below, were prepared on a stand-alone basis and were derived from the consolidated financial statements and accounting records of Marriott International. These consolidated financial statements were prepared as if the reorganization described under “Our Spin-Off from Marriott International, Inc.” above had taken place as of the earliest period presented. The consolidated financial statements reflect our historical financial position, results of operations and cash flows as we have historically operated, in conformity with United States Generally Accepted Accounting Principles (“GAAP”). All significant intracompany transactions and accounts within these Consolidated Financial Statements have been eliminated.</w:t>
      </w:r>
    </w:p>
    <w:p>
      <w:pPr>
        <w:spacing w:after="0" w:line="14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Prior to the Spin-Off, Marriott Vacations Worldwide was a subsidiary of Marriott International. The financial information included herein may not necessarily reflect our financial position, results of operations and cash flows in the future or what our financial position, results of operations and cash flows would have been had we been an independent, publicly traded company during all of the periods presented.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fiscal year ends on the Friday nearest to December 31. The fiscal years in the following table have 52 weeks. Unless otherwise specified, each reference to a particular year in these financial statements means the fiscal year ended on the date shown in the following table, rather than the corresponding calendar year:</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Fiscal Year</w:t>
            </w:r>
          </w:p>
        </w:tc>
        <w:tc>
          <w:tcPr>
            <w:tcW w:w="552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Fiscal Year-End Date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2012</w:t>
            </w:r>
          </w:p>
        </w:tc>
        <w:tc>
          <w:tcPr>
            <w:tcW w:w="5520" w:type="dxa"/>
            <w:vAlign w:val="bottom"/>
          </w:tcPr>
          <w:p>
            <w:pPr>
              <w:spacing w:after="0"/>
              <w:rPr>
                <w:sz w:val="16"/>
                <w:szCs w:val="16"/>
                <w:color w:val="auto"/>
              </w:rPr>
            </w:pPr>
          </w:p>
        </w:tc>
        <w:tc>
          <w:tcPr>
            <w:tcW w:w="1560" w:type="dxa"/>
            <w:vAlign w:val="bottom"/>
          </w:tcPr>
          <w:p>
            <w:pPr>
              <w:jc w:val="center"/>
              <w:spacing w:after="0" w:line="195" w:lineRule="exact"/>
              <w:rPr>
                <w:sz w:val="20"/>
                <w:szCs w:val="20"/>
                <w:color w:val="auto"/>
              </w:rPr>
            </w:pPr>
            <w:r>
              <w:rPr>
                <w:rFonts w:ascii="Arial" w:cs="Arial" w:eastAsia="Arial" w:hAnsi="Arial"/>
                <w:sz w:val="18"/>
                <w:szCs w:val="18"/>
                <w:color w:val="auto"/>
                <w:w w:val="87"/>
              </w:rPr>
              <w:t>December 28, 2012</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2011</w:t>
            </w:r>
          </w:p>
        </w:tc>
        <w:tc>
          <w:tcPr>
            <w:tcW w:w="55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December 30, 2011</w:t>
            </w:r>
          </w:p>
        </w:tc>
      </w:tr>
      <w:tr>
        <w:trPr>
          <w:trHeight w:val="222"/>
        </w:trPr>
        <w:tc>
          <w:tcPr>
            <w:tcW w:w="680" w:type="dxa"/>
            <w:vAlign w:val="bottom"/>
          </w:tcPr>
          <w:p>
            <w:pPr>
              <w:spacing w:after="0"/>
              <w:rPr>
                <w:sz w:val="20"/>
                <w:szCs w:val="20"/>
                <w:color w:val="auto"/>
              </w:rPr>
            </w:pPr>
            <w:r>
              <w:rPr>
                <w:rFonts w:ascii="Arial" w:cs="Arial" w:eastAsia="Arial" w:hAnsi="Arial"/>
                <w:sz w:val="18"/>
                <w:szCs w:val="18"/>
                <w:color w:val="auto"/>
              </w:rPr>
              <w:t>2010</w:t>
            </w:r>
          </w:p>
        </w:tc>
        <w:tc>
          <w:tcPr>
            <w:tcW w:w="55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7"/>
              </w:rPr>
              <w:t>December 31, 2010</w:t>
            </w:r>
          </w:p>
        </w:tc>
      </w:tr>
    </w:tbl>
    <w:p>
      <w:pPr>
        <w:spacing w:after="0" w:line="15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refer throughout to (i) our Consolidated Financial Statements as our “Financial Statements,” (ii) our Consolidated Statements of Operations as our “Statements of Operations,” (iii) our Consolidated Balance Sheets as our “Balance Sheets,” (iv) our Consolidated Statements of Cash Flows as our “Cash Flows” and (v) Accounting Standards Update (“ASU”) No. 2009-17, “</w:t>
      </w:r>
      <w:r>
        <w:rPr>
          <w:rFonts w:ascii="Arial" w:cs="Arial" w:eastAsia="Arial" w:hAnsi="Arial"/>
          <w:sz w:val="16"/>
          <w:szCs w:val="16"/>
          <w:i w:val="1"/>
          <w:iCs w:val="1"/>
          <w:color w:val="auto"/>
        </w:rPr>
        <w:t>Consolidations (Topic 810): Improvements to Financial Reporting by Enterprises Involved with</w:t>
      </w:r>
      <w:r>
        <w:rPr>
          <w:rFonts w:ascii="Arial" w:cs="Arial" w:eastAsia="Arial" w:hAnsi="Arial"/>
          <w:sz w:val="16"/>
          <w:szCs w:val="16"/>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(“ASU No. 2009-17”), which we adopted on the first day of the 2010 fiscal year, as the new “Consolidation Standard.”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significant transactions between us and Marriott International have been included in these Financial Statements. The total net effect of the settlement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these intercompany transactions prior to the Spin-Off is reflected in the Cash Flows as a financing activity. In connection with the Spin-Off, we completed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Marriott International related to our separation from Marriott International, which resulted in a net reduction to our equity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 million. These transactions primarily consisted of the reversal of our deferred tax assets, which were retained by Marriott International following the Spin-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 and establishment of deferred tax liabilities. Retained earnings represents the results of operations subsequent to November 20, 2011.</w:t>
      </w:r>
    </w:p>
    <w:p>
      <w:pPr>
        <w:spacing w:after="0" w:line="16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Through the date of the Spin-Off, our Financial Statements include costs for services provided by Marriott International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Marriott International allocated indirect general and administrative costs to us for certain functions provided by Marriott International. The services provided to us included, but were not limited to, executive office, legal, tax, finance, government and public relations, internal audit, treasury, investor relations, human resources and other administrative support, which were allocated to us primarily on the basis of our proportion of Marriott International’s overall revenue. We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might have been incurred had we been a stand-alone company would depend on a number of factors, including the chosen organizational structure, what functions we might have performed ourselves or outsourced and strategic decisions we might have made in areas such as information technology and infrastructure. Following the Spin-Off, we perform these functions using our own resources or purchased services from either Marriott International or third parties. For an interim period some of these functions will continue to be provided by Marriott International under Transition Services Agreements (“TSAs”). In addition to the TSAs, we entered into a number of commercial agreements with Marriott International in connection with the Spin-Off, many of which have terms longer than one year. These agreements may not have existed prior to the Spin-Off, or may be on different terms than the terms of agreements between us and Marriott International that existed prior to Spin-Off.</w:t>
      </w:r>
    </w:p>
    <w:p>
      <w:pPr>
        <w:spacing w:after="0" w:line="12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Prior to the Spin-Off, the majority of our domestic cash was transferred to Marriott International daily and Marriott International funded our operating and investing activities as needed. Accordingly, the cash and cash equivalents held by Marriott International at the corporate level were not allocated to us for any of the periods prior to the Spin-Off presented. Prior to the Spin-Off, cash and cash equivalents in our Balance Sheets primarily represented cash held locally by international entities included in our Financial Statements. We included debt incurred from our limited direct financing and historical vacation ownership notes receivable securitizations on our Balance Sheets, as this debt is specific to our business. Marriott International did not allocate a portion of its external senior debt interest cost to us since none of the external senior debt recorded by Marriott International was directly related to our business. We also did not include any interest expense for cash advances from Marriott International since historically Marriott International did not allocate any interest expense related to intercompany advances to any of the historical Marriott International divisions.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Prior to the Spin-Off, Marriott International allocated a portion of expenses associated with its self-insurance programs to us as part of the historical costs for services Marriott International provided. In connection with the Spin-Off, Marriott International did not allocate any portion of the related reserves as these reserves represent obligations of Marriott International which are not transferable.</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Marriott Rewards customer loyalty program liabilities, self-insured medical plan reserves, equity-based compensation, income taxes, loss contingencies and restructuring charge reserves. Actual amounts may differ from these estimated amounts.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reclassified certain prior year amounts to conform to our 2012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Sales of Vacation Ownership Products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market and sell real estate and in substance real estate in our four reportable segments. Real estate and in substance real estate include deeded vacation ownership products, deeded beneficial interests, rights to use real estate, and other interests in trusts that solely hold real estate and deeded whole ownership units in residential buildings. Within the Luxury segment, we also market and sell residential units at certain properties on a limited basis.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sales of vacation ownership products may be made for cash or we may provide financing. We generally do not provide financing on sales of whole ownership products. Except for revenue from the sale of residential stand-alone structures, which we recognize upon transfer of title to a third party, we recognize revenue when all of the following exist or are true: the customer has executed a binding sales contract, the statutory rescission period has expired (after which time the purchasers are not entitled to a refund except for non-delivery by us), we have deemed the receivable collectible and the remainder of our obligations are substantially completed. In addition, before we recognize any revenues, the purchaser must have met the initial investment criteria and, as applicable, the continuing investment criteria. A purchaser has met the initial investment criteria when we receive a minimum down payment. In accordance with the guidance for accounting for real estate time-sharing transactions, we must also take into consideration the fair value of certain incentives provided to the purchaser when assessing the adequacy of the purchaser’s initial investment. In those cases where we provide financing to the purchaser, the purchaser must be obligated to remit monthly payments under financing contracts that represent the purchaser’s continuing investment.</w:t>
      </w:r>
    </w:p>
    <w:p>
      <w:pPr>
        <w:spacing w:after="0" w:line="12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If construction of the purchased vacation ownership product is not complete, we apply the percentage-of-completion method of accounting provided that the preliminary construction stage is complete and that a minimum sales level has been met (to ensure that the property will not revert to a rental property). We deem the preliminary stage of development to be complete when the engineering and design work is complete, the construction contracts have been executed, the site has been cleared, prepared and excavated, and the building foundation is complete. We determine completion percentage by comparing the proportion of inventory costs incurred to total estimated costs. We base these estimated costs on our historical experience, market conditions and the related contractual terms. The remaining revenues and related costs of sales, including commissions and direct expenses, are deferred and recognized as the remaining costs are incurred.</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Resort Management and Other Services Revenues</w:t>
      </w:r>
    </w:p>
    <w:p>
      <w:pPr>
        <w:spacing w:after="0" w:line="90"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Resort management and other services revenues consist primarily of ancillary revenues and management fees. Ancillary revenues consist of goods and services that are sold or provided by us at restaurants, golf courses and other retail and service outlets located at developed resorts. We recognize ancillary revenue when goods have been provided and/or services have been rendered.</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provide day-to-day-management services, including housekeeping services, operation of a reservation system, maintenance and certain accounting and administrative services for property owners’ associations. We receive compensation for such management services which is generally based on either a percentage of total costs to operate such resorts or a fixed fee arrangement. We recognize revenues when earned in accordance with the terms of the contract and record them as a component of Resort management and other services revenues on our Statements of Operations. Management fee revenues were $67 million, $63 million and $60 million during 2012, 2011 and 2010,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Financing Revenues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offer consumer financing as an option to qualifying customers purchasing vacation ownership products, which is typically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and upon receipt of a minimum down payment of 10 percent. We record an estimate of uncollectible amounts at the time of the sale with a charge to the provision for loan losses, which we classify as a reduction of Sales of vacation ownership products on our Statements of Operations. Revisions to estimates of uncollectible amounts also impact the provision for loan losses and can increase or decrease revenue. We earn interest income from the financing arrangements on the principal balance outstanding over the life of the arrangement and record that interest income in Financing revenues on our Statements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Rental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 rental revenues when occupancy has occurred or, in the case of unused prepaid rentals, upon forfeiture.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Fee Revenues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Both Financing revenues and Resort management and other services revenues include additional fees for services we provide to our property owners’ associations, as well as certain annual and transaction based fees we charge to owners and other third parties for services. We recognize fee revenues when services have been rendered. Fee revenues included in Financing revenues were $6 million in 2012, $7 million in 2011 and $7 million in 2010, as reflected on our Statements of Operations. Fee revenues included in Resort management and other services revenues were $23 million in 2012, $17 million in 2011 and $10 million in 2010, as reflected on our Statements of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Cost Reimbursements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Cost reimbursements include direct and indirect costs that property owners’ associations and joint ventures reimburse to us. In accordance with the accounting guidance for gross versus net presentation, we record these revenues on a gross basis. These costs primarily consist of payroll and payroll-related costs for management of the property owners’ associations and other services we provide where we are the employer. We recognize cost reimbursements when we incur the related reimbursable costs. Cost reimbursements are based upon actual expenses with no added margin.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Transactions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From time to time, we enter into transactions involving multiple elements. We analyze contracts with multiple elements under the accounting guidance for revenue recognition in multiple-element arrangements. If we enter into transactions for the sale of multiple products or services, we evaluate whether the delivered elements have value to the customer on a stand-alone basis, and whether there is objective and reliable evidence of fair value for each undelivered element in the transaction. If these criteria are met, then we account for each deliverable in the transaction separately. We generally recognize revenue for undelivered elements on a straight-line basis over the contractual performance period for time-based elements or upon delivery to the customer. If we are unable to determine the fair value of one or more undelivered elements in the transaction, we recognize the revenue on a straight-line basis over the period in which the last deliverable is provided to the customer.</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Multiple-element transactions require judgment to determine the selling price or fair value of the different elements. The judgments impact the amount of revenue and expenses recognized over the term of the contract, as well as the period in which they are recognized.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inventory consists of completed vacation ownership products, vacation ownership products under construction and land held for future vacation ownership product development.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account for vacation ownership inventory and cost of vacation ownership products in accordance with time-sharing accounting standards, which define a specific application of the relative sales value method for reducing vacation ownership inventory and recording cost of sales as described in our policy for revenue recognition for vacation ownership products. Also, pursuant to time-sharing accounting standards, we do not reduce inventory for cost of vacation ownership products related to anticipated credit losses (accordingly, no adjustment is made when inventory is reacquired upon default of the related receivable). These standards provide for changes in estimates within the relative sales value calculations to be accounted for as real estate inventory true-ups, which we refer to as product cost true-ups, and are recorded in Cost of vacation ownership product expenses on the Statements of Operations to retrospectively adjust the margin previously recorded subject to those estimates. For 2012, 2011 and 2010, product cost true-ups relating to vacation ownership products increased carrying values of inventory by $30 million, $2 million and $6 million, respectively.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residential real estate projects, we allocate costs to individual residences in the projects based on the relative estimated sales value of each residence in accordance with ASC 970, “</w:t>
      </w:r>
      <w:r>
        <w:rPr>
          <w:rFonts w:ascii="Arial" w:cs="Arial" w:eastAsia="Arial" w:hAnsi="Arial"/>
          <w:sz w:val="16"/>
          <w:szCs w:val="16"/>
          <w:i w:val="1"/>
          <w:iCs w:val="1"/>
          <w:color w:val="auto"/>
        </w:rPr>
        <w:t>Real Estate—General</w:t>
      </w:r>
      <w:r>
        <w:rPr>
          <w:rFonts w:ascii="Arial" w:cs="Arial" w:eastAsia="Arial" w:hAnsi="Arial"/>
          <w:sz w:val="16"/>
          <w:szCs w:val="16"/>
          <w:color w:val="auto"/>
        </w:rPr>
        <w:t>,” which defines the accounting for costs of real estate projects. Under this method, we reduce the allocated cost of a unit from inventory and recognize that cost as cost of sales when we recognize the related sale. Changes in estimates within the relative sales value calculations for residential products (similar to condominiums) are accounted for as prospective adjustments to cost of vacation ownership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 of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capitalize interest and certain salaries and related costs incurred in connection with the following: (1) development and construction of sales centers;</w:t>
      </w:r>
    </w:p>
    <w:p>
      <w:pPr>
        <w:spacing w:after="0" w:line="38" w:lineRule="exact"/>
        <w:rPr>
          <w:sz w:val="20"/>
          <w:szCs w:val="20"/>
          <w:color w:val="auto"/>
        </w:rPr>
      </w:pPr>
    </w:p>
    <w:p>
      <w:pPr>
        <w:ind w:firstLine="8"/>
        <w:spacing w:after="0" w:line="254"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internally developed software; and (3) development and construction projects for our real estate inventory. We capitalize interest expense and costs clearly associated with the acquisition, development and construction of a real estate project when it is probable that we will acquire a property or an option to acquire a property. We capitalize salary and related costs only to the extent they directly relate to the project. We capitalize taxes and insurance costs when activities that are necessary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get the property ready for its intended use are underway. We cease capitalization of costs during prolonged gaps in development when substantially all activities are suspended or when projects are considered substantially complete (such as typically three months after a project phase receives a certificate of occupancy). Capitalized salaries and related costs totaled $8 million, $11 million and $19 million for 2012, 2011 and 2010,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90"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We administer and maintain a defined contribution plan for the benefit of all employees meeting certain eligibility requirements who elect to participate in the plan. Contributions are determined based on a specified percentage of salary deferrals by participating employees. Our employees participated in Marriott International’s comparable plan prior to the Spin-Off. Subsequent to the Spin-Off, our employees are no longer eligible to participate in Marriott International’s defined contribution plan, and are now able to participate in the comparable defined contribution plan we established. We recognized compensation expense (net of cost reimbursements from property owners’ associations) for our participating employees totaling $5 million in 2012, $6 million in 2011 and $6 million in 2010. Of the $6 million compensation expense we recognized in 2011, $5 million was recognized prior to the Spin-Off and was associated with the Marriott International defined contribution plan and $1 million was recognized subsequent to the Spin-Off and was associated with our newly established defined contribution plan.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Property and equipment includes our sales centers, golf courses, information technology and other assets used in the normal course of business, as well as land parcels that are not part of our approved development plan. We record property and equipment at cost, including interest and real estate taxes incurred during active development. We capitalize the cost of improvements that extend the useful life of property and equipment when incurred. These capitalized costs may include structural costs, equipment, fixtures, floor and decorative items and signage.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Rewards Customer Loyalty Program</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participate in the Marriott Rewards customer loyalty program and we offer Marriott Rewards Points, or “points,” which we purchase from Marriott International, as incentives to purchase vacation ownership products and/or through exchange and other activities. Marriott International maintains and administers this program and points cannot be redeemed for cash. The associated expense is classified in the Statements of Operations based on the source of the expense and related revenue stream.</w:t>
      </w:r>
    </w:p>
    <w:p>
      <w:pPr>
        <w:spacing w:after="0" w:line="143" w:lineRule="exact"/>
        <w:rPr>
          <w:sz w:val="20"/>
          <w:szCs w:val="20"/>
          <w:color w:val="auto"/>
        </w:rPr>
      </w:pPr>
    </w:p>
    <w:p>
      <w:pPr>
        <w:jc w:val="both"/>
        <w:ind w:right="360" w:firstLine="456"/>
        <w:spacing w:after="0" w:line="306" w:lineRule="auto"/>
        <w:rPr>
          <w:sz w:val="20"/>
          <w:szCs w:val="20"/>
          <w:color w:val="auto"/>
        </w:rPr>
      </w:pPr>
      <w:r>
        <w:rPr>
          <w:rFonts w:ascii="Arial" w:cs="Arial" w:eastAsia="Arial" w:hAnsi="Arial"/>
          <w:sz w:val="16"/>
          <w:szCs w:val="16"/>
          <w:color w:val="auto"/>
        </w:rPr>
        <w:t>For periods subsequent to 2011, we generally pay Marriott International for Marriott Rewards Points within 30 days of issuance. For Marriott Rewards Points issued for exchanges in the calendar fourth quarter, payment is due within 120 days of year-end. The rates we pay for the Marriott Rewards Points are based upon historical redemption costs. Our liability for these Marriott Rewards Points is included in Accrued liabilities on the Balance Sheets.</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For Marriott Rewards Points issued prior to 2012, we pay Marriott International for Marriott Rewards Points when the points are redeemed by program members. Our liability for Marriott Rewards Points issued prior to 2012 represents the net present value of future cash outlays that we are obligated to pay Marriott International based on actual point redemptions. We base the carrying value of this liability on a statistical model that projects the dollar value and timing of future point redemptions. The most significant estimates involve the future cost of redeemed points, the breakage for points that will never be redeemed, and the pace at which points are redeemed. We base our estimates for these items on our historical experience, current trends and other considerations. Actual results could differ from our projections so the actual discounted future cash outlays associated with our Marriott Rewards customer loyalty program liability could differ from the amounts currently recorded.</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liability for Marriott Rewards Points issued prior to 2012 represents the amount that we are obligated to pay to Marriott International based on future redemptions. These future redemptions consist of actual redemptions incurred during years 2013 to 2015, with a final lump sum payment in 2016. The lump sum payment represents an estimate of the present value of anticipated future redemptions of any remaining Marriott Rewards Points issued in connection with our business prior to 2012. Our liability for these Marriott Rewards Points is included in Liability for Marriott Rewards customer loyalty program on the Balance Sheets. See Footnote No. 12, “Other Liabilities” for more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record a liability for the fair value of a guarantee on the date we issue or modify the guarantee. The offsetting entry depends on the circumstances in which the guarantee was issued. Funding under the guarantee reduces the recorded liability. On a quarterly basis, we evaluate all material estimated liabilities based on the operating results and the terms of the guarantee. If we conclude that it is probable that we will be required to fund a greater amount than previously estimated, we will record a loss.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all highly liquid investments with an initial maturity of three months or less at the date of purchase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Restricted cash primarily consists of cash held in a reserve account related to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and Contracts Receivable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and contracts receivable are presented net of allowances of $2 million at the end of both 2012 and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Vacation Ownership Notes Receivable</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record an estimate of expected uncollectibility on all notes receivable from vacation ownership purchasers as a reduction of revenues from the sales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principal, interest, fees and penalties owed and fully reinstate the note. We write off uncollectible vacation ownership notes receivable against the reserve once we receive title of the vacation ownership products through the foreclosure or deed-in-lieu process or, in Europe or Asia Pacific, when revocation is complete. For both non-securitized and securitized vacation ownership notes receivable, we estimated average remaining default rates of 7.42 percent and 7.71 percent as of December 28, 2012 and December 30, 2011, respectively. A 0.5 percentage point increase in the estimated default rate would have resulted in an increase in our allowance for credit losses of $6 million as of December 28, 2012 and December 30, 2011.</w:t>
      </w:r>
    </w:p>
    <w:p>
      <w:pPr>
        <w:spacing w:after="0" w:line="12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For additional information on our vacation ownership notes receivable, including information on the related reserves, see Footnote No. 3, “Vacation Ownership Notes Receivable.”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Other Loans Receivable</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On a regular basis, we individually assess other loans receivable for impairment. We use internally generated cash flow projections to determine if we expect the notes receivable will be repaid according to the terms of the loan agreements. If we conclude that it is probable that a loan will not be repaid in accordance with the loan agreement, we consider the loan impaired and begin recognizing interest income on a cash basis. To measure impairment, we calculate the present value of expected future cash flows discounted at the loan’s original effective interest rate or the estimated fair value of the collateral. If the present value or the estimated value of collateral is less than the carrying value of the note receivable, we establish a specific impairment reserve for the difference.</w:t>
      </w:r>
    </w:p>
    <w:p>
      <w:pPr>
        <w:spacing w:after="0" w:line="10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It is our policy to charge off notes receivable that we believe will likely not be collected based on financial or other business indicators, including our historical experience, in the quarter in which we deem the note receivable to be uncollectible.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Sell Vacation Ownership Products</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We charge the majority of marketing and sales costs we incur to sell vacation ownership products to expense when incurred. Deferred marketing and selling expenses, which are direct marketing and selling costs related either to an unclosed contract or a contract for which 100 percent of revenue has not yet been recognized, were $4 million at year-end 2012 and $3 million at year-end 2011 and are included in the accompanying Balance Sheets in the Other caption within Assets.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Property and Equipment</w:t>
      </w:r>
    </w:p>
    <w:p>
      <w:pPr>
        <w:spacing w:after="0" w:line="90" w:lineRule="exact"/>
        <w:rPr>
          <w:sz w:val="20"/>
          <w:szCs w:val="20"/>
          <w:color w:val="auto"/>
        </w:rPr>
      </w:pPr>
    </w:p>
    <w:p>
      <w:pPr>
        <w:ind w:right="120" w:firstLine="456"/>
        <w:spacing w:after="0" w:line="309" w:lineRule="auto"/>
        <w:rPr>
          <w:sz w:val="20"/>
          <w:szCs w:val="20"/>
          <w:color w:val="auto"/>
        </w:rPr>
      </w:pPr>
      <w:r>
        <w:rPr>
          <w:rFonts w:ascii="Arial" w:cs="Arial" w:eastAsia="Arial" w:hAnsi="Arial"/>
          <w:sz w:val="15"/>
          <w:szCs w:val="15"/>
          <w:color w:val="auto"/>
        </w:rPr>
        <w:t>Property and equipment includes our sales centers, golf courses, information technology and other assets used in the normal course of business, as well as land parcels that are not part of an approved development plan and do not meet the criteria to be classified as held for sale. We test long-lived asset groups for recoverability when changes in circumstances indicate the carrying value may not be recoverable, for example, when there are material adverse changes in projected revenues or expenses, significant underperformance relative to historical or projected operating results, and significant negative industry or economic trends. We also perform a test for recoverability when management has committed to a plan to sell or otherwise dispose of an asset group and we expect the plan will be completed within a year.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 Refer to Footnote No. 8, “Property and Equipment,” for additional information.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impairment losses that we recorded associated with long-lived assets, see Footnote No. 16, “Impairment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consolidate entities that we control. We account for investments in joint ventures using the equity method of accounting when we exercise significant influence over the venture. If we do not exercise significant influence, we account for the investment using the cost method of accounting. We account for investments in limited partnerships and limited liability companies using the equity method of accounting when we own more than a minimal investment. Our ownership interest in these equity method investments generally varies from 34 percent to 50 percent.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 in Ventures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evaluate an investment in a venture for impairment when circumstances indicate that the carrying value may not be recoverable due to loan defaults, significant under-performance relative to historical or projected performance, significant negative industry or economic trends, or otherwise.</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impair investments we have accounted for using the equity and cost methods of accounting when we determine that the venture has had an “other than temporary” decline in its estimated fair value as compared to its carrying value. Additionally, a change in business plans or strategies of a venture could cause us to evaluate the recoverability for the individual long-lived assets in the venture and possibly the venture itself.</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calculate the estimated fair value of an investment in a venture using the income approach. We use internally developed discounted cash flow models that include the following assumptions, among others: projections of revenues and expenses and related cash flows based on assumed long-term growth rates and demand trends; expected future investments; and estimated discount rates. We base these assumptions on our historical data and experience, third-party appraisals, industry projections, micro and macro general economic condition projections, and our expectations.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We have various financial instruments we must measure at fair value on a recurring basis. See Footnote No. 4, “Financial Instruments,” for further information. We also apply the provisions of fair value measurement to various non-recurring measurements for our financial and non-financial assets and liabilities.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are unadjusted quoted prices in active markets for identical assets or liabilities that we have the ability to access at the measurement date.</w:t>
      </w:r>
    </w:p>
    <w:p>
      <w:pPr>
        <w:spacing w:after="0" w:line="113"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6"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From time to time, we may use derivative instruments to reduce market risk due to changes in interest rates and currency exchange rates, including interest rate derivatives that we may be required to enter into as a condition of the Warehouse Credit Facility (as defined in Footnote No. 10, “Debt”). As of December 28, 2012, we were not party to any material derivative instruments or hedges.</w:t>
      </w:r>
    </w:p>
    <w:p>
      <w:pPr>
        <w:spacing w:after="0" w:line="140"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The designation of a derivative instrument as a hedge and its ability to meet the hedge accounting criteria determines how the change in fair value of the derivative instrument is recorded in our Financial Statements. A derivative qualifies for hedge accounting if, at inception, we expect the derivative to be highly effective in offsetting the underlying hedged cash flows or fair value and we fulfill the hedge documentation standards at the time we enter into the derivative contract. We designate a hedge as a cash flow hedge, fair value hedge, or a net investment in non-U.S. operations hedge based on the exposure we are hedging. The asset or liability value of the derivative will change in tandem with its fair value. For the effective portion of qualifying hedges, we record changes in fair value in other comprehensive income (“OCI”). We release the derivative’s gain or loss from OCI to match the timing of the underlying hedged items’ effect on earnings. As a matter of policy, we only enter into hedging transactions that we believe will be highly effective at offsetting the underlying risk and do not use derivatives for trading or speculative purposes.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Prior to the Spin-Off, Marriott International entered into derivative instruments on our behalf. Marriott International managed our exposure to market risks by monitoring available financing alternatives, as well as through development and application of credit granting policies. Marriott International also used derivative instruments, including cash flow hedges, net investment in non-U.S. operations hedges, fair value hedges, and other derivative instruments, as part of Marriott International’s overall strategy to manage our exposure to market risks.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Statement of Operations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Costs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conjunction with the Spin-Off, we established the Marriott Vacations Worldwide Corporation Stock and Cash Incentive Plan (“Marriott Vacations Worldwide Stock Plan”) in order to compensate our employees and directors by issuing equity awards such as stock options, stock appreciation rights (“SARs”) and restricted stock units (“RSUs”) to them. Prior to the Spin-Off, certain of our employees received equity awards under the Marriott International, Inc. Stock and Cash Incentive Plan (“Marriott International Stock Plan”). For the fiscal year ended 2012 and the period from November 21, 2011 through December 30, 2011, our Statement of Operations includes expenses related to our employees’ participation in both the Marriott Vacations Worldwide Stock Plan and the Marriott International Stock Plan. For the period from January 1, 2011 through November 20, 2011 and the fiscal year ended 2010, our Statements of Operations include expenses related to our employees’ participation in the Marriott International Stock Plan.</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follow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(“ASC 718”), which requires that a company measure the expense of employee services received in exchange for an award of equity instruments based on the grant-date fair value of the award. Generally, share-based awards granted to our employees vest ratably over a four-year period, and we recognize the expense associated with these awards in our Statements of Operations on a straight-line basis over the period during which an employee is required to provide service in exchange for the award. We measure the amount of compensation expense for share-based awards based on the fair value of the awards as of the date that the share-based awards are granted and adjust that expense to the estimated number of awards that we expect will vest. We generally determine the fair value of stock options and SARs using the Black-Scholes option valuation model which incorporates assumptions about expected volatility, risk free interest rate, dividend yield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and expected term. The fair value of RSUs represents the number of awards granted multiplied by the average of the high and low market price of our common stock on the date the awards are granted. For awards granted after 2005, we recognize compensation cost for share-based awards ratably over the vesting period. See Footnote No. 14, “Share-Based Compensation,” for more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expensed advertising costs as incurred of $2 million, $3 million and $3 million in 2012, 2011 and 2010, respectively. These costs are included in the Marketing and sales expense caption on our Statements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Although for periods prior to the Spin-Off we did not file separate tax returns from Marriott International, we have calculated the income tax provision included in these Financial Statements based on a separate return methodology, as if the entities were separate taxpayers in the respective jurisdictions. As a result, our deferred tax balances and effective tax rate as a stand-alone entity will likely differ significantly from those recognized historically. Prior to the Spin-Off, our results of operations were included in the consolidated tax filings of other Marriott International entities within the respective entity’s tax jurisdiction. Commencing with periods subsequent to November 21, 2011, we file our own consolidated U.S. federal and state income tax returns and any required filings for non-U.S. jurisdictions based on the applicable tax year in each jurisdiction.</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w:t>
      </w:r>
    </w:p>
    <w:p>
      <w:pPr>
        <w:spacing w:after="0" w:line="143"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Prior to the Spin-Off, we did not maintain taxes payable to or from Marriott International and the tax balances outstanding at Spin-Off will be settled in accordance with the Tax Sharing and Indemnification Agreement that we entered into on November 17, 2011 with Marriott International. These deemed settlements are reflected as changes in Shareholder’s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about income taxes and deferred tax assets and liabilities, see Footnote No. 2,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Common Share</w:t>
      </w:r>
    </w:p>
    <w:p>
      <w:pPr>
        <w:spacing w:after="0" w:line="9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Basic earnings (loss) per common share is calculated by dividing the earnings available to common shareholders by the weighted average number of common shares outstanding for the period. Diluted earnings (loss) per common share is calculated to give effect to all potentially dilutive common shares that were outstanding during the reporting period. The dilutive effect of outstanding equity-based compensation awards is reflected in diluted earnings (loss) per common share by application of the treasury stock methods. For 2011, basic weighted average shares outstanding were computed using the number of shares of common stock outstanding immediately following the Spin-Off, as if such shares were outstanding for the entire period prior to the Spin-Off, plus the weighted average of such shares outstanding following the Spin-Off date through year-end 2011. For 2010, basic and diluted weighted average shares outstanding were computed using the number of shares of common stock outstanding immediately following the Spin-Off, as if such shares were outstanding for the entire period.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ind w:left="240" w:right="780"/>
        <w:spacing w:after="0" w:line="268" w:lineRule="auto"/>
        <w:rPr>
          <w:sz w:val="20"/>
          <w:szCs w:val="20"/>
          <w:color w:val="auto"/>
        </w:rPr>
      </w:pPr>
      <w:r>
        <w:rPr>
          <w:rFonts w:ascii="Arial" w:cs="Arial" w:eastAsia="Arial" w:hAnsi="Arial"/>
          <w:sz w:val="18"/>
          <w:szCs w:val="18"/>
          <w:i w:val="1"/>
          <w:iCs w:val="1"/>
          <w:u w:val="single" w:color="auto"/>
          <w:color w:val="auto"/>
        </w:rPr>
        <w:t>Accounting Standards Update No. 2011-04—“Fair Value Measurement (Topic 820): Amendments to Achieve Common Fair Value Measurement and Disclosure Requirements in U.S. GAAP and IFRSs” (“ASU No. 2011-04”)</w:t>
      </w:r>
    </w:p>
    <w:p>
      <w:pPr>
        <w:spacing w:after="0" w:line="5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ASU No. 2011-04 generally provides a uniform framework for fair value measurements and related disclosures between GAAP and International Financial Reporting Standards. Additional disclosure requirements in the update include: (1) for Level 3 fair value measurements, quantitative information about unobservable inputs used, a description of the valuation processes used by the entity, and a qualitative discussion about the sensitivity of the measurements to changes in the unobservable inputs; (2) for an entity’s use of a nonfinancial asset that is different from the asset’s highest and best use, the reason for the difference; (3) for financial instruments not measured at fair value but for which disclosure of fair value is required, the fair value hierarchy level in which the fair value measurements were determined; and (4) the disclosure of all transfers between Level 1 and Level 2 of the fair value hierarchy. ASU No. 2011-04 became effective during our first quarter of 2012. The adoption of this update did not have a material impact on our Financial Statements.</w:t>
      </w:r>
    </w:p>
    <w:p>
      <w:pPr>
        <w:spacing w:after="0" w:line="199" w:lineRule="exact"/>
        <w:rPr>
          <w:sz w:val="20"/>
          <w:szCs w:val="20"/>
          <w:color w:val="auto"/>
        </w:rPr>
      </w:pPr>
    </w:p>
    <w:p>
      <w:pPr>
        <w:ind w:left="240" w:right="480"/>
        <w:spacing w:after="0" w:line="306" w:lineRule="auto"/>
        <w:rPr>
          <w:sz w:val="20"/>
          <w:szCs w:val="20"/>
          <w:color w:val="auto"/>
        </w:rPr>
      </w:pPr>
      <w:r>
        <w:rPr>
          <w:rFonts w:ascii="Arial" w:cs="Arial" w:eastAsia="Arial" w:hAnsi="Arial"/>
          <w:sz w:val="16"/>
          <w:szCs w:val="16"/>
          <w:i w:val="1"/>
          <w:iCs w:val="1"/>
          <w:u w:val="single" w:color="auto"/>
          <w:color w:val="auto"/>
        </w:rPr>
        <w:t>Accounting Standards Update No. 2011-05—“Comprehensive Income (Topic 220): Presentation of Comprehensive Income” (“ASU No. 2011-05”) and Accounting Standards Update No. 2011-12—“Comprehensive Income (Topic 220): Deferral of the Effective Date for Amendments to the Presentation of Reclassifications of Items Out of Accumulated Other Comprehensive Income in ASU 2011-05” (“ASU No. 2011-12”)</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ASU No. 2011-05 amends existing guidance by allowing only two options for presenting the components of net income and other comprehensive income:</w:t>
      </w:r>
    </w:p>
    <w:p>
      <w:pPr>
        <w:spacing w:after="0" w:line="38" w:lineRule="exact"/>
        <w:rPr>
          <w:sz w:val="20"/>
          <w:szCs w:val="20"/>
          <w:color w:val="auto"/>
        </w:rPr>
      </w:pPr>
    </w:p>
    <w:p>
      <w:pPr>
        <w:ind w:right="20" w:firstLine="8"/>
        <w:spacing w:after="0" w:line="252"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 single continuous statement of comprehensive income, or (2) in two separate but consecutive financial statements, consisting of an income statement followed by a separate statement of other comprehensive income. ASU No. 2011-12 defers until further notice ASU No. 2011-05’s requirement that items that are reclassified from other comprehensive income to net income be presented on the face of the financial statements. ASU No. 2011-05 requires retrospective application, and both ASU No. 2011-05 and ASU No. 2011-12 became effective during our first quarter of 2012. The adoption of these updates changed the order in which certain financial statements are presented and has required us to provide additional detail on those financial statements, but did not have a material impact on our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the Spin-Off, our operating results were included in Marriott International’s combined U.S. federal and state income tax returns and in many of Marriott International’s tax filings for non-U.S. jurisdictions. Subsequent to the Spin-Off, Marriott Vacations Worldwide files its own U.S. consolidated federal and state tax returns, as well as separate tax filings for non-U.S. jurisdictions. For periods prior to the Spin-Off, we determined our provision for income taxes and our contribution to Marriott International’s tax losses and tax credits on a separate return basis and included each in these Financial Statements. Our separate return basis tax loss and tax credit carry backs may not reflect the tax positions taken or to be taken by Marriott International for tax losses occurring prior to the Spin-Off. In many cases tax losses and tax credits generated by us prior to the Spin-Off have been available for use by Marriott International and will largely continue to be available to Marriott International in the future.</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a Tax Sharing and Indemnification Agreement with Marriott International effective November 21, 2011 (as subsequently amended, the “Tax Sharing and Indemnification Agreement”), which governs the allocation of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(the “IRS”) in connection with the Spin-Off, taxes imposed will be allocated between Marriott International and Marriott Vacations Worldwide and each will indemnify and hold harmless the other from and against the taxes so allocated. During 2012, Marriott International completed the valuation of the assets distributed to Marriott Vacations Worldwide at the time of the Spin-Off, which resulted in an increase in our Deferred tax liabilities of $12 million and a corresponding reduction of Additional paid-in capital. Based upon the completed valuations, we re-allocated basis within our consolidated subsidiaries and recorded a decrease to our Deferred tax liabilities of $8 million and a corresponding increase to Additional paid-in capital. Further, we increased our Deferred tax liabilities by $12 million for adjustments to the Deferred tax liabilities at the time of Spin-Off with a corresponding reduction of Additional paid-in capital.</w:t>
      </w:r>
    </w:p>
    <w:p>
      <w:pPr>
        <w:spacing w:after="0" w:line="12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addition, under the Tax Sharing and Indemnification Agreement, Marriott International is allocated the responsibility for payment of taxes for our taxable income prior to Spin-Off and we are allocated the responsibility for payment of taxes for our taxable income subsequent to Spin-Off.</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(loss) before provision (benefit) of income taxes by geographic region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4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2012</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$45</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$(129)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Non-U.S. jurisdictions</w:t>
            </w:r>
          </w:p>
        </w:tc>
        <w:tc>
          <w:tcPr>
            <w:tcW w:w="294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r>
      <w:tr>
        <w:trPr>
          <w:trHeight w:val="27"/>
        </w:trPr>
        <w:tc>
          <w:tcPr>
            <w:tcW w:w="454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4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112</w:t>
            </w:r>
          </w:p>
        </w:tc>
        <w:tc>
          <w:tcPr>
            <w:tcW w:w="100" w:type="dxa"/>
            <w:vAlign w:val="bottom"/>
            <w:shd w:val="clear" w:color="auto" w:fill="CCEEFF"/>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current tax provision does not reflect the benefits attributable to us for the exercise or vesting of employee share-based awards of $3 million in 2012, less than $1 million in 2011 and $3 million in 2010.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(provision for) benefit from income taxes consists of:</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r>
      <w:tr>
        <w:trPr>
          <w:trHeight w:val="210"/>
        </w:trPr>
        <w:tc>
          <w:tcPr>
            <w:tcW w:w="7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 U.S. Federal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2"/>
              </w:rPr>
              <w:t>$ (62)</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$(10)</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$ 39</w:t>
            </w: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620"/>
              <w:spacing w:after="0"/>
              <w:rPr>
                <w:sz w:val="20"/>
                <w:szCs w:val="20"/>
                <w:color w:val="auto"/>
              </w:rPr>
            </w:pPr>
            <w:r>
              <w:rPr>
                <w:rFonts w:ascii="Arial" w:cs="Arial" w:eastAsia="Arial" w:hAnsi="Arial"/>
                <w:sz w:val="18"/>
                <w:szCs w:val="18"/>
                <w:color w:val="auto"/>
              </w:rPr>
              <w:t>– U.S. State</w:t>
            </w: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75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Non-U.S.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0"/>
        </w:trPr>
        <w:tc>
          <w:tcPr>
            <w:tcW w:w="7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52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(71)</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8"/>
        </w:trPr>
        <w:tc>
          <w:tcPr>
            <w:tcW w:w="7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Deferred – U.S. Federal</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7520" w:type="dxa"/>
            <w:vAlign w:val="bottom"/>
          </w:tcPr>
          <w:p>
            <w:pPr>
              <w:ind w:left="700"/>
              <w:spacing w:after="0"/>
              <w:rPr>
                <w:sz w:val="20"/>
                <w:szCs w:val="20"/>
                <w:color w:val="auto"/>
              </w:rPr>
            </w:pPr>
            <w:r>
              <w:rPr>
                <w:rFonts w:ascii="Arial" w:cs="Arial" w:eastAsia="Arial" w:hAnsi="Arial"/>
                <w:sz w:val="18"/>
                <w:szCs w:val="18"/>
                <w:color w:val="auto"/>
              </w:rPr>
              <w:t>– U.S. State</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7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Non-U.S.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7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r>
      <w:tr>
        <w:trPr>
          <w:trHeight w:val="28"/>
        </w:trPr>
        <w:tc>
          <w:tcPr>
            <w:tcW w:w="7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 (21)</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1"/>
              </w:rPr>
              <w:t>$ 36</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(45)</w:t>
            </w:r>
          </w:p>
        </w:tc>
      </w:tr>
      <w:tr>
        <w:trPr>
          <w:trHeight w:val="20"/>
        </w:trPr>
        <w:tc>
          <w:tcPr>
            <w:tcW w:w="7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deferred tax assets and related valuation allowances in these Financial Statements have been determined on a separate return basis. The assessment of the valuation allowances requires considerable judgment on the part of management, with respect to benefits that could be realized from future taxable income, as well as other positive and negative factors. Valuation allowances are recorded against the deferred tax assets of certain foreign operations for which historical losses, restructuring and impairment charges have been incurred. The change in the valuation allowances established were $4 million in 2012, $13 million in 2011 and $3 million in 2010.</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made no provision for U.S. income taxes or additional non-U.S. taxes on the cumulative unremitted earnings of non-U.S. subsidiaries ($66 million as of year-end 2012) because we consider these earnings to be permanently invested. These earnings could become subject to additional taxes if remitted as dividends, loaned to us or a U.S. affiliate or if we sold our interests in the affiliates. We cannot practically estimate the amount of additional taxes that might be payable on the unremitted earnings.</w:t>
      </w:r>
    </w:p>
    <w:p>
      <w:pPr>
        <w:spacing w:after="0" w:line="14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We conduct business in countries that grant “holidays” from income taxes for five to thirty year periods. These holidays expire through 2034. Without these tax “holidays,” we would have incurred the following aggregate income taxes: $3 million in 2012, $4 million in 2011 and $5 million in 2010.</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a large taxpayer, Marriott International is continuously under audit by the IRS and other taxing authorities. We have joined in the Marriott International U.S. Federal tax consolidated filing for all years prior to 2011 and the portion of 2011 up to the date of the Spin-Off. The IRS has examined Marriott International’s federal income tax returns, and it has settled all issues for the tax years through 2009. Marriott International participated in the IRS Compliance Assurance Program for the 2011 and 2010 tax years. Although we do not anticipate that a significant impact to our unrecognized tax benefit balance will occur during the next fiscal year as a result of these audits, it remains possible that the amount of our liability for unrecognized tax benefits could change over that time period. Pursuant to the Tax Sharing and Indemnification Agreement, Marriott International is liable and shall pay the relevant tax authority for all taxes related to the taxable income prior to the Spin-Off. Our tax years subsequent to the Spin-Off are subject to examination by relevant tax authorities.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total unrecognized tax benefit balance was less than $1 million at year-end 2012, $2 million at year-end 2011 and $1 million at year-end 2010 that, if recognized, would impact our effective tax rate. Our unrecognized tax benefit reflects a decrease of $2 million in 2012, an increase of $1 million in 2011 and an increase of $1 million in 2010, in each case representing non-U.S. audit activity.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our unrecognized tax benefit balance for each year from the beginning of 2010 to the end of 2012:</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2012</w:t>
            </w:r>
          </w:p>
        </w:tc>
        <w:tc>
          <w:tcPr>
            <w:tcW w:w="46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2011</w:t>
            </w:r>
          </w:p>
        </w:tc>
        <w:tc>
          <w:tcPr>
            <w:tcW w:w="220" w:type="dxa"/>
            <w:vAlign w:val="bottom"/>
          </w:tcPr>
          <w:p>
            <w:pPr>
              <w:spacing w:after="0"/>
              <w:rPr>
                <w:sz w:val="14"/>
                <w:szCs w:val="14"/>
                <w:color w:val="auto"/>
              </w:rPr>
            </w:pPr>
          </w:p>
        </w:tc>
        <w:tc>
          <w:tcPr>
            <w:tcW w:w="580" w:type="dxa"/>
            <w:vAlign w:val="bottom"/>
            <w:gridSpan w:val="3"/>
          </w:tcPr>
          <w:p>
            <w:pPr>
              <w:jc w:val="center"/>
              <w:ind w:left="142"/>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tax benefit at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440"/>
              <w:spacing w:after="0"/>
              <w:rPr>
                <w:sz w:val="20"/>
                <w:szCs w:val="20"/>
                <w:color w:val="auto"/>
              </w:rPr>
            </w:pPr>
            <w:r>
              <w:rPr>
                <w:rFonts w:ascii="Arial" w:cs="Arial" w:eastAsia="Arial" w:hAnsi="Arial"/>
                <w:sz w:val="18"/>
                <w:szCs w:val="18"/>
                <w:color w:val="auto"/>
              </w:rPr>
              <w:t>Change attributable to tax positions taken during a prior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attributable to settlements with taxing authorities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Unrecognized tax benefit at end of year</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 accordance with our accounting policies, we recognize accrued interest and penalties related to our unrecognized tax benefits as a component of tax expense. Related interest expense and accrued interest expense each totaled less than $1 million in each of 2012, 2011 and 2010.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Income 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deferred tax assets and liabilities as of year-end 2012 and year-end 2011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440" w:type="dxa"/>
            <w:vAlign w:val="bottom"/>
            <w:gridSpan w:val="4"/>
          </w:tcPr>
          <w:p>
            <w:pPr>
              <w:ind w:left="2240"/>
              <w:spacing w:after="0"/>
              <w:rPr>
                <w:sz w:val="20"/>
                <w:szCs w:val="20"/>
                <w:color w:val="auto"/>
              </w:rPr>
            </w:pPr>
            <w:r>
              <w:rPr>
                <w:rFonts w:ascii="Arial" w:cs="Arial" w:eastAsia="Arial" w:hAnsi="Arial"/>
                <w:sz w:val="14"/>
                <w:szCs w:val="14"/>
                <w:b w:val="1"/>
                <w:bCs w:val="1"/>
                <w:color w:val="auto"/>
              </w:rPr>
              <w:t>At Year-End</w:t>
            </w:r>
          </w:p>
        </w:tc>
        <w:tc>
          <w:tcPr>
            <w:tcW w:w="12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At Year-End</w:t>
            </w:r>
          </w:p>
        </w:tc>
        <w:tc>
          <w:tcPr>
            <w:tcW w:w="0" w:type="dxa"/>
            <w:vAlign w:val="bottom"/>
          </w:tcPr>
          <w:p>
            <w:pPr>
              <w:spacing w:after="0"/>
              <w:rPr>
                <w:sz w:val="1"/>
                <w:szCs w:val="1"/>
                <w:color w:val="auto"/>
              </w:rPr>
            </w:pPr>
          </w:p>
        </w:tc>
      </w:tr>
      <w:tr>
        <w:trPr>
          <w:trHeight w:val="161"/>
        </w:trPr>
        <w:tc>
          <w:tcPr>
            <w:tcW w:w="3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2012</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2400" w:type="dxa"/>
            <w:vAlign w:val="bottom"/>
            <w:gridSpan w:val="2"/>
            <w:shd w:val="clear" w:color="auto" w:fill="CCEEFF"/>
          </w:tcPr>
          <w:p>
            <w:pPr>
              <w:ind w:left="2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6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tax effect of each type of temporary difference and carry-forward that gives rise to a significant portion of our deferred tax assets and liabilities as of year-end 2012 and year-end 2011 were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7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At Year-End</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At Year-End</w:t>
            </w:r>
          </w:p>
        </w:tc>
        <w:tc>
          <w:tcPr>
            <w:tcW w:w="0" w:type="dxa"/>
            <w:vAlign w:val="bottom"/>
          </w:tcPr>
          <w:p>
            <w:pPr>
              <w:spacing w:after="0"/>
              <w:rPr>
                <w:sz w:val="1"/>
                <w:szCs w:val="1"/>
                <w:color w:val="auto"/>
              </w:rPr>
            </w:pPr>
          </w:p>
        </w:tc>
      </w:tr>
      <w:tr>
        <w:trPr>
          <w:trHeight w:val="161"/>
        </w:trPr>
        <w:tc>
          <w:tcPr>
            <w:tcW w:w="4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Inventory</w:t>
            </w:r>
          </w:p>
        </w:tc>
        <w:tc>
          <w:tcPr>
            <w:tcW w:w="1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Reserves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 financing</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Marriott Rewards customer loyalty program</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sales of vacation ownership interests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Long lived intangible assets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net</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(liability)</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5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At year-end 2012, we had approximately $177 million of foreign net operating losses (excluding valuation allowances) some of which begin expiring in 2013. However, a significant portion of these tax net operating losses have an indefinite carry forward period. We have no federal net operating losses and net operating losses of less than $1 million for state tax purposes.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20"/>
          </w:cols>
          <w:pgMar w:left="240" w:top="459"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benefit or expense related to the U.S. statutory income tax rate to our effective income tax rate for continuing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2011</w:t>
            </w:r>
          </w:p>
        </w:tc>
        <w:tc>
          <w:tcPr>
            <w:tcW w:w="5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statutory income tax rate expense/(benefit)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35.00%</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(35.00)%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35.00%</w:t>
            </w:r>
          </w:p>
        </w:tc>
      </w:tr>
      <w:tr>
        <w:trPr>
          <w:trHeight w:val="216"/>
        </w:trPr>
        <w:tc>
          <w:tcPr>
            <w:tcW w:w="9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U.S. state income taxes, net of U.S. federal tax benefit</w:t>
            </w:r>
          </w:p>
        </w:tc>
        <w:tc>
          <w:tcPr>
            <w:tcW w:w="520" w:type="dxa"/>
            <w:vAlign w:val="bottom"/>
          </w:tcPr>
          <w:p>
            <w:pPr>
              <w:jc w:val="right"/>
              <w:spacing w:after="0"/>
              <w:rPr>
                <w:sz w:val="20"/>
                <w:szCs w:val="20"/>
                <w:color w:val="auto"/>
              </w:rPr>
            </w:pPr>
            <w:r>
              <w:rPr>
                <w:rFonts w:ascii="Arial" w:cs="Arial" w:eastAsia="Arial" w:hAnsi="Arial"/>
                <w:sz w:val="18"/>
                <w:szCs w:val="18"/>
                <w:color w:val="auto"/>
              </w:rPr>
              <w:t>3.99</w:t>
            </w:r>
          </w:p>
        </w:tc>
        <w:tc>
          <w:tcPr>
            <w:tcW w:w="5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(2.34)</w:t>
            </w:r>
          </w:p>
        </w:tc>
        <w:tc>
          <w:tcPr>
            <w:tcW w:w="460" w:type="dxa"/>
            <w:vAlign w:val="bottom"/>
          </w:tcPr>
          <w:p>
            <w:pPr>
              <w:jc w:val="right"/>
              <w:spacing w:after="0"/>
              <w:rPr>
                <w:sz w:val="20"/>
                <w:szCs w:val="20"/>
                <w:color w:val="auto"/>
              </w:rPr>
            </w:pPr>
            <w:r>
              <w:rPr>
                <w:rFonts w:ascii="Arial" w:cs="Arial" w:eastAsia="Arial" w:hAnsi="Arial"/>
                <w:sz w:val="18"/>
                <w:szCs w:val="18"/>
                <w:color w:val="auto"/>
              </w:rPr>
              <w:t>3.07</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Permanent differences</w:t>
            </w:r>
            <w:r>
              <w:rPr>
                <w:rFonts w:ascii="Arial" w:cs="Arial" w:eastAsia="Arial" w:hAnsi="Arial"/>
                <w:sz w:val="11"/>
                <w:szCs w:val="11"/>
                <w:color w:val="auto"/>
              </w:rPr>
              <w:t>(1)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0.17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Non-U.S. income</w:t>
            </w:r>
            <w:r>
              <w:rPr>
                <w:rFonts w:ascii="Arial" w:cs="Arial" w:eastAsia="Arial" w:hAnsi="Arial"/>
                <w:sz w:val="11"/>
                <w:szCs w:val="11"/>
                <w:color w:val="auto"/>
              </w:rPr>
              <w:t>(2)</w:t>
            </w:r>
          </w:p>
        </w:tc>
        <w:tc>
          <w:tcPr>
            <w:tcW w:w="520" w:type="dxa"/>
            <w:vAlign w:val="bottom"/>
          </w:tcPr>
          <w:p>
            <w:pPr>
              <w:jc w:val="right"/>
              <w:spacing w:after="0"/>
              <w:rPr>
                <w:sz w:val="20"/>
                <w:szCs w:val="20"/>
                <w:color w:val="auto"/>
              </w:rPr>
            </w:pPr>
            <w:r>
              <w:rPr>
                <w:rFonts w:ascii="Arial" w:cs="Arial" w:eastAsia="Arial" w:hAnsi="Arial"/>
                <w:sz w:val="18"/>
                <w:szCs w:val="18"/>
                <w:color w:val="auto"/>
              </w:rPr>
              <w:t>6.01</w:t>
            </w:r>
          </w:p>
        </w:tc>
        <w:tc>
          <w:tcPr>
            <w:tcW w:w="5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14.44</w:t>
            </w:r>
          </w:p>
        </w:tc>
        <w:tc>
          <w:tcPr>
            <w:tcW w:w="46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 to return adjustment</w:t>
            </w:r>
            <w:r>
              <w:rPr>
                <w:rFonts w:ascii="Arial" w:cs="Arial" w:eastAsia="Arial" w:hAnsi="Arial"/>
                <w:sz w:val="11"/>
                <w:szCs w:val="11"/>
                <w:color w:val="auto"/>
              </w:rPr>
              <w:t>(3)</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(10.83)</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Other items</w:t>
            </w:r>
          </w:p>
        </w:tc>
        <w:tc>
          <w:tcPr>
            <w:tcW w:w="520" w:type="dxa"/>
            <w:vAlign w:val="bottom"/>
          </w:tcPr>
          <w:p>
            <w:pPr>
              <w:jc w:val="right"/>
              <w:spacing w:after="0"/>
              <w:rPr>
                <w:sz w:val="20"/>
                <w:szCs w:val="20"/>
                <w:color w:val="auto"/>
              </w:rPr>
            </w:pPr>
            <w:r>
              <w:rPr>
                <w:rFonts w:ascii="Arial" w:cs="Arial" w:eastAsia="Arial" w:hAnsi="Arial"/>
                <w:sz w:val="18"/>
                <w:szCs w:val="18"/>
                <w:color w:val="auto"/>
              </w:rPr>
              <w:t>5.47</w:t>
            </w:r>
          </w:p>
        </w:tc>
        <w:tc>
          <w:tcPr>
            <w:tcW w:w="52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valuation allowance</w:t>
            </w:r>
            <w:r>
              <w:rPr>
                <w:rFonts w:ascii="Arial" w:cs="Arial" w:eastAsia="Arial" w:hAnsi="Arial"/>
                <w:sz w:val="11"/>
                <w:szCs w:val="11"/>
                <w:color w:val="auto"/>
              </w:rPr>
              <w:t>(4)</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5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2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Effective rate expense/(benefit)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57.54%</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(16.79)%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40.06%</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Primarily attributed to interest on mandatorily redeemable preferred stock of a consolidated subsidiary and foreign income subject to U.S. tax.</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Primarily attributed to the difference between U.S. and foreign income tax rates offset by the benefit of tax holidays in certain jurisdictions.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Attributable to the difference in the provision for income taxes and the actual tax paid upon filing.</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Primarily attributed to establishment of valuation allowances in foreign jurisdictions for losses that cannot be benefited in the U.S. income tax provision as discussed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Taxes Paid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taxes paid in 2012 were $68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60" w:type="dxa"/>
            <w:vAlign w:val="bottom"/>
            <w:gridSpan w:val="3"/>
          </w:tcPr>
          <w:p>
            <w:pPr>
              <w:ind w:left="520"/>
              <w:spacing w:after="0"/>
              <w:rPr>
                <w:sz w:val="20"/>
                <w:szCs w:val="20"/>
                <w:color w:val="auto"/>
              </w:rPr>
            </w:pPr>
            <w:r>
              <w:rPr>
                <w:rFonts w:ascii="Arial" w:cs="Arial" w:eastAsia="Arial" w:hAnsi="Arial"/>
                <w:sz w:val="14"/>
                <w:szCs w:val="14"/>
                <w:b w:val="1"/>
                <w:bCs w:val="1"/>
                <w:color w:val="auto"/>
                <w:w w:val="89"/>
              </w:rPr>
              <w:t>At Year-End</w:t>
            </w:r>
          </w:p>
        </w:tc>
        <w:tc>
          <w:tcPr>
            <w:tcW w:w="1540" w:type="dxa"/>
            <w:vAlign w:val="bottom"/>
            <w:gridSpan w:val="4"/>
          </w:tcPr>
          <w:p>
            <w:pPr>
              <w:ind w:left="700"/>
              <w:spacing w:after="0"/>
              <w:rPr>
                <w:sz w:val="20"/>
                <w:szCs w:val="20"/>
                <w:color w:val="auto"/>
              </w:rPr>
            </w:pPr>
            <w:r>
              <w:rPr>
                <w:rFonts w:ascii="Arial" w:cs="Arial" w:eastAsia="Arial" w:hAnsi="Arial"/>
                <w:sz w:val="14"/>
                <w:szCs w:val="14"/>
                <w:b w:val="1"/>
                <w:bCs w:val="1"/>
                <w:color w:val="auto"/>
              </w:rPr>
              <w:t>At Year-End</w:t>
            </w:r>
          </w:p>
        </w:tc>
      </w:tr>
      <w:tr>
        <w:trPr>
          <w:trHeight w:val="161"/>
        </w:trPr>
        <w:tc>
          <w:tcPr>
            <w:tcW w:w="58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securitized</w:t>
            </w: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Borders>
              <w:top w:val="single" w:sz="8" w:color="CCEEFF"/>
            </w:tcBorders>
            <w:shd w:val="clear" w:color="auto" w:fill="CCEEFF"/>
          </w:tcPr>
          <w:p>
            <w:pPr>
              <w:spacing w:after="0"/>
              <w:rPr>
                <w:sz w:val="18"/>
                <w:szCs w:val="18"/>
                <w:color w:val="auto"/>
              </w:rPr>
            </w:pPr>
          </w:p>
        </w:tc>
      </w:tr>
      <w:tr>
        <w:trPr>
          <w:trHeight w:val="323"/>
        </w:trPr>
        <w:tc>
          <w:tcPr>
            <w:tcW w:w="20" w:type="dxa"/>
            <w:vAlign w:val="bottom"/>
          </w:tcPr>
          <w:p>
            <w:pPr>
              <w:spacing w:after="0"/>
              <w:rPr>
                <w:sz w:val="24"/>
                <w:szCs w:val="24"/>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Vacation ownership notes receivable – eligible for securitization</w:t>
            </w:r>
            <w:r>
              <w:rPr>
                <w:rFonts w:ascii="Arial" w:cs="Arial" w:eastAsia="Arial" w:hAnsi="Arial"/>
                <w:sz w:val="11"/>
                <w:szCs w:val="11"/>
                <w:color w:val="auto"/>
              </w:rPr>
              <w:t>(1)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Vacation ownership notes receivable – not eligible for securitization</w:t>
            </w:r>
            <w:r>
              <w:rPr>
                <w:rFonts w:ascii="Arial" w:cs="Arial" w:eastAsia="Arial" w:hAnsi="Arial"/>
                <w:sz w:val="11"/>
                <w:szCs w:val="11"/>
                <w:color w:val="auto"/>
                <w:w w:val="98"/>
              </w:rPr>
              <w:t>(1)</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Vacation ownership notes receivable – non-securitized</w:t>
            </w: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w:t>
            </w: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Refer to Footnote No. 4, “Financial Instruments,” for discussion of eligibility of our vacation ownership notes receivable.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8"/>
              </w:rPr>
              <w:t>Non-Securitized</w:t>
            </w:r>
          </w:p>
        </w:tc>
        <w:tc>
          <w:tcPr>
            <w:tcW w:w="8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Securitized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210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82"/>
              </w:rPr>
              <w:t>Notes Receivable</w:t>
            </w:r>
          </w:p>
        </w:tc>
        <w:tc>
          <w:tcPr>
            <w:tcW w:w="80" w:type="dxa"/>
            <w:vAlign w:val="bottom"/>
          </w:tcPr>
          <w:p>
            <w:pPr>
              <w:spacing w:after="0"/>
              <w:rPr>
                <w:sz w:val="14"/>
                <w:szCs w:val="14"/>
                <w:color w:val="auto"/>
              </w:rPr>
            </w:pPr>
          </w:p>
        </w:tc>
        <w:tc>
          <w:tcPr>
            <w:tcW w:w="16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4"/>
              </w:rPr>
              <w:t>Notes Receivable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5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color w:val="auto"/>
              </w:rPr>
              <w:t>Weighted average stated interest rate at year-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220"/>
              <w:spacing w:after="0"/>
              <w:rPr>
                <w:sz w:val="20"/>
                <w:szCs w:val="20"/>
                <w:color w:val="auto"/>
              </w:rPr>
            </w:pPr>
            <w:r>
              <w:rPr>
                <w:rFonts w:ascii="Arial" w:cs="Arial" w:eastAsia="Arial" w:hAnsi="Arial"/>
                <w:sz w:val="18"/>
                <w:szCs w:val="18"/>
                <w:color w:val="auto"/>
              </w:rPr>
              <w:t>end 2012</w:t>
            </w:r>
          </w:p>
        </w:tc>
        <w:tc>
          <w:tcPr>
            <w:tcW w:w="100" w:type="dxa"/>
            <w:vAlign w:val="bottom"/>
          </w:tcPr>
          <w:p>
            <w:pPr>
              <w:spacing w:after="0"/>
              <w:rPr>
                <w:sz w:val="19"/>
                <w:szCs w:val="19"/>
                <w:color w:val="auto"/>
              </w:rPr>
            </w:pPr>
          </w:p>
        </w:tc>
        <w:tc>
          <w:tcPr>
            <w:tcW w:w="2100" w:type="dxa"/>
            <w:vAlign w:val="bottom"/>
            <w:gridSpan w:val="2"/>
          </w:tcPr>
          <w:p>
            <w:pPr>
              <w:jc w:val="right"/>
              <w:ind w:right="86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9"/>
                <w:szCs w:val="19"/>
                <w:color w:val="auto"/>
              </w:rPr>
            </w:pP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13.0%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year-end</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 to 19.5%</w:t>
            </w:r>
          </w:p>
        </w:tc>
        <w:tc>
          <w:tcPr>
            <w:tcW w:w="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 to 18.7%</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0.0% to 19.5%</w:t>
            </w:r>
          </w:p>
        </w:tc>
        <w:tc>
          <w:tcPr>
            <w:tcW w:w="0" w:type="dxa"/>
            <w:vAlign w:val="bottom"/>
          </w:tcPr>
          <w:p>
            <w:pPr>
              <w:spacing w:after="0"/>
              <w:rPr>
                <w:sz w:val="1"/>
                <w:szCs w:val="1"/>
                <w:color w:val="auto"/>
              </w:rPr>
            </w:pPr>
          </w:p>
        </w:tc>
      </w:tr>
      <w:tr>
        <w:trPr>
          <w:trHeight w:val="363"/>
        </w:trPr>
        <w:tc>
          <w:tcPr>
            <w:tcW w:w="4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2"/>
          </w:tcPr>
          <w:p>
            <w:pPr>
              <w:jc w:val="right"/>
              <w:ind w:right="1240"/>
              <w:spacing w:after="0"/>
              <w:rPr>
                <w:sz w:val="20"/>
                <w:szCs w:val="20"/>
                <w:color w:val="auto"/>
              </w:rPr>
            </w:pPr>
            <w:r>
              <w:rPr>
                <w:rFonts w:ascii="Arial" w:cs="Arial" w:eastAsia="Arial" w:hAnsi="Arial"/>
                <w:sz w:val="18"/>
                <w:szCs w:val="18"/>
                <w:color w:val="auto"/>
              </w:rPr>
              <w:t>F-22</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reflect interest income associated with vacation ownership notes receivable in our Statements of Operations in the Financing revenues caption. The following table summarizes interest income associated with vacation ownership notes receivable:</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6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 associated with vacation ownership notes receivable – securitized</w:t>
            </w:r>
          </w:p>
        </w:tc>
        <w:tc>
          <w:tcPr>
            <w:tcW w:w="8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$ 114</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w w:val="99"/>
              </w:rPr>
              <w:t>Interest income associated with vacation ownership notes receivable – non-securitized</w:t>
            </w:r>
          </w:p>
        </w:tc>
        <w:tc>
          <w:tcPr>
            <w:tcW w:w="8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7"/>
        </w:trPr>
        <w:tc>
          <w:tcPr>
            <w:tcW w:w="68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income associated with vacation ownership notes receivable</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145</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2012, 2011 and 2010: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6"/>
              </w:rPr>
              <w:t>Non-Securitized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8"/>
              </w:rPr>
              <w:t>Securitized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Vacation Ownership</w:t>
            </w:r>
          </w:p>
        </w:tc>
        <w:tc>
          <w:tcPr>
            <w:tcW w:w="420" w:type="dxa"/>
            <w:vAlign w:val="bottom"/>
          </w:tcPr>
          <w:p>
            <w:pPr>
              <w:spacing w:after="0"/>
              <w:rPr>
                <w:sz w:val="12"/>
                <w:szCs w:val="12"/>
                <w:color w:val="auto"/>
              </w:rPr>
            </w:pPr>
          </w:p>
        </w:tc>
        <w:tc>
          <w:tcPr>
            <w:tcW w:w="208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7"/>
              </w:rPr>
              <w:t>Vacation Ownership</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Notes Receivable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9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4"/>
              </w:rPr>
              <w:t>Reserve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4"/>
              </w:rPr>
              <w:t>Reserve</w:t>
            </w: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9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One-time impact of the new Consolidation Standard</w:t>
            </w:r>
            <w:r>
              <w:rPr>
                <w:rFonts w:ascii="Arial" w:cs="Arial" w:eastAsia="Arial" w:hAnsi="Arial"/>
                <w:sz w:val="11"/>
                <w:szCs w:val="11"/>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Securitizations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Clean-up call</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(79)</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Defaulted vacation ownership notes receivable repurchase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activity</w:t>
            </w:r>
            <w:r>
              <w:rPr>
                <w:rFonts w:ascii="Arial" w:cs="Arial" w:eastAsia="Arial" w:hAnsi="Arial"/>
                <w:sz w:val="11"/>
                <w:szCs w:val="11"/>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Balance at year-end 2010</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Securitizations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Clean-up call</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(85)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(85)</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Defaulted vacation ownership notes receivable repurchase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activity</w:t>
            </w:r>
            <w:r>
              <w:rPr>
                <w:rFonts w:ascii="Arial" w:cs="Arial" w:eastAsia="Arial" w:hAnsi="Arial"/>
                <w:sz w:val="11"/>
                <w:szCs w:val="11"/>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Balance at year-end 2011</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Securitizations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(21)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Clean-up calls</w:t>
            </w:r>
            <w:r>
              <w:rPr>
                <w:rFonts w:ascii="Arial" w:cs="Arial" w:eastAsia="Arial" w:hAnsi="Arial"/>
                <w:sz w:val="11"/>
                <w:szCs w:val="11"/>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Defaulted vacation ownership notes receivable repurchase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4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activity</w:t>
            </w:r>
            <w:r>
              <w:rPr>
                <w:rFonts w:ascii="Arial" w:cs="Arial" w:eastAsia="Arial" w:hAnsi="Arial"/>
                <w:sz w:val="11"/>
                <w:szCs w:val="11"/>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Balance at year-end 2012</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4920" w:type="dxa"/>
            <w:vAlign w:val="bottom"/>
            <w:gridSpan w:val="2"/>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4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6"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non-securitized vacation ownership notes receivable reserve relates to the implementation of the new Consolidation Standard, which required us to establish reserves for certain previously securitized and subsequently repurchased notes held at January 2, 2010.</w:t>
      </w:r>
    </w:p>
    <w:p>
      <w:pPr>
        <w:ind w:left="4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Refers to our voluntary repurchase of previously securitized non-defaulted vacation ownership notes receivable to retire outstanding vacation ownership notes receivable securitizations.</w:t>
      </w:r>
    </w:p>
    <w:p>
      <w:pPr>
        <w:ind w:left="460" w:right="240" w:hanging="452"/>
        <w:spacing w:after="0" w:line="323" w:lineRule="auto"/>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the vacation ownership notes receivable.</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60"/>
          </w:cols>
          <w:pgMar w:left="240" w:top="459" w:right="4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 As noted in Footnote No. 1, “Summary of Significant Accounting Policies,” we recognize interest income on a cash basis for these vacation ownership notes receivable.</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62"/>
              <w:spacing w:after="0"/>
              <w:rPr>
                <w:sz w:val="20"/>
                <w:szCs w:val="20"/>
                <w:color w:val="auto"/>
              </w:rPr>
            </w:pPr>
            <w:r>
              <w:rPr>
                <w:rFonts w:ascii="Arial" w:cs="Arial" w:eastAsia="Arial" w:hAnsi="Arial"/>
                <w:sz w:val="14"/>
                <w:szCs w:val="14"/>
                <w:b w:val="1"/>
                <w:bCs w:val="1"/>
                <w:color w:val="auto"/>
                <w:w w:val="88"/>
              </w:rPr>
              <w:t>Non-Securitized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rPr>
              <w:t>Securitized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900" w:type="dxa"/>
            <w:vAlign w:val="bottom"/>
          </w:tcPr>
          <w:p>
            <w:pPr>
              <w:spacing w:after="0"/>
              <w:rPr>
                <w:sz w:val="12"/>
                <w:szCs w:val="12"/>
                <w:color w:val="auto"/>
              </w:rPr>
            </w:pP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Vacation Ownership</w:t>
            </w:r>
          </w:p>
        </w:tc>
        <w:tc>
          <w:tcPr>
            <w:tcW w:w="92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Vacation Ownership</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100" w:type="dxa"/>
            <w:vAlign w:val="bottom"/>
          </w:tcPr>
          <w:p>
            <w:pPr>
              <w:jc w:val="right"/>
              <w:ind w:right="22"/>
              <w:spacing w:after="0"/>
              <w:rPr>
                <w:sz w:val="20"/>
                <w:szCs w:val="20"/>
                <w:color w:val="auto"/>
              </w:rPr>
            </w:pPr>
            <w:r>
              <w:rPr>
                <w:rFonts w:ascii="Arial" w:cs="Arial" w:eastAsia="Arial" w:hAnsi="Arial"/>
                <w:sz w:val="14"/>
                <w:szCs w:val="14"/>
                <w:b w:val="1"/>
                <w:bCs w:val="1"/>
                <w:color w:val="auto"/>
                <w:w w:val="84"/>
              </w:rPr>
              <w:t>Notes Receivable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2"/>
              <w:spacing w:after="0"/>
              <w:rPr>
                <w:sz w:val="20"/>
                <w:szCs w:val="20"/>
                <w:color w:val="auto"/>
              </w:rPr>
            </w:pPr>
            <w:r>
              <w:rPr>
                <w:rFonts w:ascii="Arial" w:cs="Arial" w:eastAsia="Arial" w:hAnsi="Arial"/>
                <w:sz w:val="14"/>
                <w:szCs w:val="14"/>
                <w:b w:val="1"/>
                <w:bCs w:val="1"/>
                <w:color w:val="auto"/>
                <w:w w:val="82"/>
              </w:rPr>
              <w:t>Notes Receivable</w:t>
            </w:r>
          </w:p>
        </w:tc>
        <w:tc>
          <w:tcPr>
            <w:tcW w:w="92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188"/>
        </w:trPr>
        <w:tc>
          <w:tcPr>
            <w:tcW w:w="49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Investment in notes receivable on non-accrual status at</w:t>
            </w: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year-end 2012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8"/>
                <w:szCs w:val="18"/>
                <w:color w:val="auto"/>
              </w:rPr>
              <w:t>Investment in notes receivable on non-accrual status at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900" w:type="dxa"/>
            <w:vAlign w:val="bottom"/>
          </w:tcPr>
          <w:p>
            <w:pPr>
              <w:ind w:left="220"/>
              <w:spacing w:after="0"/>
              <w:rPr>
                <w:sz w:val="20"/>
                <w:szCs w:val="20"/>
                <w:color w:val="auto"/>
              </w:rPr>
            </w:pPr>
            <w:r>
              <w:rPr>
                <w:rFonts w:ascii="Arial" w:cs="Arial" w:eastAsia="Arial" w:hAnsi="Arial"/>
                <w:sz w:val="18"/>
                <w:szCs w:val="18"/>
                <w:color w:val="auto"/>
              </w:rPr>
              <w:t>year-end 2011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w:t>
            </w: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101</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December 28,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rPr>
              <w:t>Securitized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Vacation Ownership</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4"/>
                <w:szCs w:val="14"/>
                <w:b w:val="1"/>
                <w:bCs w:val="1"/>
                <w:color w:val="auto"/>
                <w:w w:val="82"/>
              </w:rPr>
              <w:t>Notes Receivable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r>
      <w:tr>
        <w:trPr>
          <w:trHeight w:val="210"/>
        </w:trPr>
        <w:tc>
          <w:tcPr>
            <w:tcW w:w="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31</w:t>
            </w:r>
          </w:p>
        </w:tc>
        <w:tc>
          <w:tcPr>
            <w:tcW w:w="4700" w:type="dxa"/>
            <w:vAlign w:val="bottom"/>
            <w:tcBorders>
              <w:top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90 days past due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91</w:t>
            </w:r>
          </w:p>
        </w:tc>
        <w:tc>
          <w:tcPr>
            <w:tcW w:w="470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Total past due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r>
      <w:tr>
        <w:trPr>
          <w:trHeight w:val="217"/>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1,086</w:t>
            </w:r>
          </w:p>
        </w:tc>
        <w:tc>
          <w:tcPr>
            <w:tcW w:w="100" w:type="dxa"/>
            <w:vAlign w:val="bottom"/>
            <w:shd w:val="clear" w:color="auto" w:fill="CCEEFF"/>
          </w:tcPr>
          <w:p>
            <w:pPr>
              <w:spacing w:after="0"/>
              <w:rPr>
                <w:sz w:val="18"/>
                <w:szCs w:val="18"/>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Total vacation ownership notes receivable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8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781</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1,203</w:t>
            </w:r>
          </w:p>
        </w:tc>
        <w:tc>
          <w:tcPr>
            <w:tcW w:w="100" w:type="dxa"/>
            <w:vAlign w:val="bottom"/>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as of December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1080" w:type="dxa"/>
            <w:vAlign w:val="bottom"/>
          </w:tcPr>
          <w:p>
            <w:pPr>
              <w:jc w:val="right"/>
              <w:ind w:right="177"/>
              <w:spacing w:after="0"/>
              <w:rPr>
                <w:sz w:val="20"/>
                <w:szCs w:val="20"/>
                <w:color w:val="auto"/>
              </w:rPr>
            </w:pPr>
            <w:r>
              <w:rPr>
                <w:rFonts w:ascii="Arial" w:cs="Arial" w:eastAsia="Arial" w:hAnsi="Arial"/>
                <w:sz w:val="14"/>
                <w:szCs w:val="14"/>
                <w:b w:val="1"/>
                <w:bCs w:val="1"/>
                <w:color w:val="auto"/>
              </w:rPr>
              <w:t>Securitized</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Vacation Ownership</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2"/>
              </w:rPr>
              <w:t>Notes Receivable</w:t>
            </w:r>
          </w:p>
        </w:tc>
        <w:tc>
          <w:tcPr>
            <w:tcW w:w="100" w:type="dxa"/>
            <w:vAlign w:val="bottom"/>
          </w:tcPr>
          <w:p>
            <w:pPr>
              <w:spacing w:after="0"/>
              <w:rPr>
                <w:sz w:val="14"/>
                <w:szCs w:val="14"/>
                <w:color w:val="auto"/>
              </w:rPr>
            </w:pPr>
          </w:p>
        </w:tc>
        <w:tc>
          <w:tcPr>
            <w:tcW w:w="1080" w:type="dxa"/>
            <w:vAlign w:val="bottom"/>
          </w:tcPr>
          <w:p>
            <w:pPr>
              <w:jc w:val="right"/>
              <w:ind w:right="17"/>
              <w:spacing w:after="0"/>
              <w:rPr>
                <w:sz w:val="20"/>
                <w:szCs w:val="20"/>
                <w:color w:val="auto"/>
              </w:rPr>
            </w:pPr>
            <w:r>
              <w:rPr>
                <w:rFonts w:ascii="Arial" w:cs="Arial" w:eastAsia="Arial" w:hAnsi="Arial"/>
                <w:sz w:val="14"/>
                <w:szCs w:val="14"/>
                <w:b w:val="1"/>
                <w:bCs w:val="1"/>
                <w:color w:val="auto"/>
                <w:w w:val="82"/>
              </w:rPr>
              <w:t>Notes Receivable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 – 90 days past due</w:t>
            </w:r>
          </w:p>
        </w:tc>
        <w:tc>
          <w:tcPr>
            <w:tcW w:w="11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91 – 150 days past due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Total past due</w:t>
            </w: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8"/>
                <w:szCs w:val="18"/>
                <w:color w:val="auto"/>
              </w:rPr>
              <w:t>Total vacation ownership notes receivable</w:t>
            </w: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00" w:type="dxa"/>
            <w:vAlign w:val="bottom"/>
            <w:vMerge w:val="continue"/>
          </w:tcPr>
          <w:p>
            <w:pPr>
              <w:spacing w:after="0"/>
              <w:rPr>
                <w:sz w:val="19"/>
                <w:szCs w:val="19"/>
                <w:color w:val="auto"/>
              </w:rPr>
            </w:pPr>
          </w:p>
        </w:tc>
        <w:tc>
          <w:tcPr>
            <w:tcW w:w="1200" w:type="dxa"/>
            <w:vAlign w:val="bottom"/>
            <w:gridSpan w:val="3"/>
          </w:tcPr>
          <w:p>
            <w:pPr>
              <w:ind w:left="110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86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977</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0" w:type="dxa"/>
            <w:vAlign w:val="bottom"/>
          </w:tcPr>
          <w:p>
            <w:pPr>
              <w:spacing w:after="0"/>
              <w:rPr>
                <w:sz w:val="24"/>
                <w:szCs w:val="24"/>
                <w:color w:val="auto"/>
              </w:rPr>
            </w:pPr>
          </w:p>
        </w:tc>
        <w:tc>
          <w:tcPr>
            <w:tcW w:w="1200" w:type="dxa"/>
            <w:vAlign w:val="bottom"/>
            <w:gridSpan w:val="3"/>
          </w:tcPr>
          <w:p>
            <w:pPr>
              <w:ind w:left="820"/>
              <w:spacing w:after="0"/>
              <w:rPr>
                <w:sz w:val="20"/>
                <w:szCs w:val="20"/>
                <w:color w:val="auto"/>
              </w:rPr>
            </w:pPr>
            <w:r>
              <w:rPr>
                <w:rFonts w:ascii="Arial" w:cs="Arial" w:eastAsia="Arial" w:hAnsi="Arial"/>
                <w:sz w:val="18"/>
                <w:szCs w:val="18"/>
                <w:color w:val="auto"/>
                <w:w w:val="97"/>
              </w:rPr>
              <w:t>F-24</w:t>
            </w: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current guidance for disclosures on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and Accounts payable, which had fair values approximating their carrying amounts due to the short maturities and liquidity of these instruments.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At Year-End</w:t>
            </w:r>
          </w:p>
        </w:tc>
        <w:tc>
          <w:tcPr>
            <w:tcW w:w="100" w:type="dxa"/>
            <w:vAlign w:val="bottom"/>
          </w:tcPr>
          <w:p>
            <w:pPr>
              <w:spacing w:after="0"/>
              <w:rPr>
                <w:sz w:val="14"/>
                <w:szCs w:val="14"/>
                <w:color w:val="auto"/>
              </w:rPr>
            </w:pPr>
          </w:p>
        </w:tc>
        <w:tc>
          <w:tcPr>
            <w:tcW w:w="1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At Year-End</w:t>
            </w:r>
          </w:p>
        </w:tc>
        <w:tc>
          <w:tcPr>
            <w:tcW w:w="0" w:type="dxa"/>
            <w:vAlign w:val="bottom"/>
          </w:tcPr>
          <w:p>
            <w:pPr>
              <w:spacing w:after="0"/>
              <w:rPr>
                <w:sz w:val="1"/>
                <w:szCs w:val="1"/>
                <w:color w:val="auto"/>
              </w:rPr>
            </w:pPr>
          </w:p>
        </w:tc>
      </w:tr>
      <w:tr>
        <w:trPr>
          <w:trHeight w:val="161"/>
        </w:trPr>
        <w:tc>
          <w:tcPr>
            <w:tcW w:w="7480" w:type="dxa"/>
            <w:vAlign w:val="bottom"/>
            <w:gridSpan w:val="3"/>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960" w:type="dxa"/>
            <w:vAlign w:val="bottom"/>
            <w:gridSpan w:val="4"/>
          </w:tcPr>
          <w:p>
            <w:pPr>
              <w:ind w:left="20"/>
              <w:spacing w:after="0" w:line="115" w:lineRule="exact"/>
              <w:rPr>
                <w:sz w:val="20"/>
                <w:szCs w:val="20"/>
                <w:color w:val="auto"/>
              </w:rPr>
            </w:pPr>
            <w:r>
              <w:rPr>
                <w:rFonts w:ascii="Arial" w:cs="Arial" w:eastAsia="Arial" w:hAnsi="Arial"/>
                <w:sz w:val="12"/>
                <w:szCs w:val="12"/>
                <w:b w:val="1"/>
                <w:bCs w:val="1"/>
                <w:color w:val="auto"/>
              </w:rPr>
              <w:t>Carrying</w:t>
            </w:r>
          </w:p>
        </w:tc>
        <w:tc>
          <w:tcPr>
            <w:tcW w:w="100" w:type="dxa"/>
            <w:vAlign w:val="bottom"/>
          </w:tcPr>
          <w:p>
            <w:pPr>
              <w:spacing w:after="0"/>
              <w:rPr>
                <w:sz w:val="10"/>
                <w:szCs w:val="10"/>
                <w:color w:val="auto"/>
              </w:rPr>
            </w:pPr>
          </w:p>
        </w:tc>
        <w:tc>
          <w:tcPr>
            <w:tcW w:w="400" w:type="dxa"/>
            <w:vAlign w:val="bottom"/>
          </w:tcPr>
          <w:p>
            <w:pPr>
              <w:jc w:val="right"/>
              <w:ind w:right="55"/>
              <w:spacing w:after="0" w:line="115" w:lineRule="exact"/>
              <w:rPr>
                <w:sz w:val="20"/>
                <w:szCs w:val="20"/>
                <w:color w:val="auto"/>
              </w:rPr>
            </w:pPr>
            <w:r>
              <w:rPr>
                <w:rFonts w:ascii="Arial" w:cs="Arial" w:eastAsia="Arial" w:hAnsi="Arial"/>
                <w:sz w:val="12"/>
                <w:szCs w:val="12"/>
                <w:b w:val="1"/>
                <w:bCs w:val="1"/>
                <w:color w:val="auto"/>
              </w:rPr>
              <w:t>Fair</w:t>
            </w:r>
          </w:p>
        </w:tc>
        <w:tc>
          <w:tcPr>
            <w:tcW w:w="400" w:type="dxa"/>
            <w:vAlign w:val="bottom"/>
          </w:tcPr>
          <w:p>
            <w:pPr>
              <w:spacing w:after="0"/>
              <w:rPr>
                <w:sz w:val="10"/>
                <w:szCs w:val="10"/>
                <w:color w:val="auto"/>
              </w:rPr>
            </w:pPr>
          </w:p>
        </w:tc>
        <w:tc>
          <w:tcPr>
            <w:tcW w:w="620" w:type="dxa"/>
            <w:vAlign w:val="bottom"/>
            <w:gridSpan w:val="3"/>
          </w:tcPr>
          <w:p>
            <w:pPr>
              <w:ind w:left="20"/>
              <w:spacing w:after="0" w:line="115" w:lineRule="exact"/>
              <w:rPr>
                <w:sz w:val="20"/>
                <w:szCs w:val="20"/>
                <w:color w:val="auto"/>
              </w:rPr>
            </w:pPr>
            <w:r>
              <w:rPr>
                <w:rFonts w:ascii="Arial" w:cs="Arial" w:eastAsia="Arial" w:hAnsi="Arial"/>
                <w:sz w:val="12"/>
                <w:szCs w:val="12"/>
                <w:b w:val="1"/>
                <w:bCs w:val="1"/>
                <w:color w:val="auto"/>
              </w:rPr>
              <w:t>Carrying</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75"/>
              <w:spacing w:after="0" w:line="115"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9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3"/>
          </w:tcPr>
          <w:p>
            <w:pPr>
              <w:ind w:left="20"/>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(1)</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5"/>
                <w:szCs w:val="15"/>
                <w:color w:val="auto"/>
              </w:rPr>
            </w:pPr>
          </w:p>
        </w:tc>
        <w:tc>
          <w:tcPr>
            <w:tcW w:w="660" w:type="dxa"/>
            <w:vAlign w:val="bottom"/>
            <w:gridSpan w:val="3"/>
          </w:tcPr>
          <w:p>
            <w:pPr>
              <w:jc w:val="right"/>
              <w:ind w:right="160"/>
              <w:spacing w:after="0" w:line="176" w:lineRule="exact"/>
              <w:rPr>
                <w:sz w:val="20"/>
                <w:szCs w:val="20"/>
                <w:color w:val="auto"/>
              </w:rPr>
            </w:pPr>
            <w:r>
              <w:rPr>
                <w:rFonts w:ascii="Arial" w:cs="Arial" w:eastAsia="Arial" w:hAnsi="Arial"/>
                <w:sz w:val="13"/>
                <w:szCs w:val="13"/>
                <w:b w:val="1"/>
                <w:bCs w:val="1"/>
                <w:color w:val="auto"/>
                <w:w w:val="94"/>
              </w:rPr>
              <w:t>Value</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0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securitized</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4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1,056</w:t>
            </w:r>
          </w:p>
        </w:tc>
        <w:tc>
          <w:tcPr>
            <w:tcW w:w="4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1,149</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1,306</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ind w:left="460"/>
              <w:spacing w:after="0"/>
              <w:rPr>
                <w:sz w:val="20"/>
                <w:szCs w:val="20"/>
                <w:color w:val="auto"/>
              </w:rPr>
            </w:pPr>
            <w:r>
              <w:rPr>
                <w:rFonts w:ascii="Arial" w:cs="Arial" w:eastAsia="Arial" w:hAnsi="Arial"/>
                <w:sz w:val="18"/>
                <w:szCs w:val="18"/>
                <w:color w:val="auto"/>
              </w:rPr>
              <w:t>Non-recourse debt associated with securitized notes receivable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80" w:type="dxa"/>
            <w:vAlign w:val="bottom"/>
            <w:gridSpan w:val="3"/>
            <w:vMerge w:val="continue"/>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Warehouse credit facility</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Other debt</w:t>
            </w:r>
          </w:p>
        </w:tc>
        <w:tc>
          <w:tcPr>
            <w:tcW w:w="1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Liability for Marriott Rewards customer loyalty program</w:t>
            </w:r>
          </w:p>
        </w:tc>
        <w:tc>
          <w:tcPr>
            <w:tcW w:w="1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74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financial liabilities</w:t>
            </w: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gridSpan w:val="3"/>
            <w:vMerge w:val="continue"/>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36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(1,144)</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(1,147)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Fair value of financial instruments has been determined using Level 3 inputs.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the “Fair Value Measurements” caption of Footnote No. 1, “Summary of Significant Accounting Policies”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determines the fair value of the underlying notes receivable.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bifurcate our non-securitized vacation ownership notes receivable into two pools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right="102"/>
              <w:spacing w:after="0"/>
              <w:rPr>
                <w:sz w:val="20"/>
                <w:szCs w:val="20"/>
                <w:color w:val="auto"/>
              </w:rPr>
            </w:pPr>
            <w:r>
              <w:rPr>
                <w:rFonts w:ascii="Arial" w:cs="Arial" w:eastAsia="Arial" w:hAnsi="Arial"/>
                <w:sz w:val="14"/>
                <w:szCs w:val="14"/>
                <w:b w:val="1"/>
                <w:bCs w:val="1"/>
                <w:color w:val="auto"/>
                <w:w w:val="92"/>
              </w:rPr>
              <w:t>At Year-End</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At Year-End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83"/>
              </w:rPr>
              <w:t>2012</w:t>
            </w:r>
          </w:p>
        </w:tc>
        <w:tc>
          <w:tcPr>
            <w:tcW w:w="3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Carrying</w:t>
            </w:r>
          </w:p>
        </w:tc>
        <w:tc>
          <w:tcPr>
            <w:tcW w:w="48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460" w:type="dxa"/>
            <w:vAlign w:val="bottom"/>
          </w:tcPr>
          <w:p>
            <w:pPr>
              <w:spacing w:after="0"/>
              <w:rPr>
                <w:sz w:val="11"/>
                <w:szCs w:val="11"/>
                <w:color w:val="auto"/>
              </w:rPr>
            </w:pPr>
          </w:p>
        </w:tc>
        <w:tc>
          <w:tcPr>
            <w:tcW w:w="560" w:type="dxa"/>
            <w:vAlign w:val="bottom"/>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90"/>
              </w:rPr>
              <w:t>Carrying</w:t>
            </w:r>
          </w:p>
        </w:tc>
        <w:tc>
          <w:tcPr>
            <w:tcW w:w="460" w:type="dxa"/>
            <w:vAlign w:val="bottom"/>
          </w:tcPr>
          <w:p>
            <w:pPr>
              <w:spacing w:after="0"/>
              <w:rPr>
                <w:sz w:val="11"/>
                <w:szCs w:val="11"/>
                <w:color w:val="auto"/>
              </w:rPr>
            </w:pPr>
          </w:p>
        </w:tc>
        <w:tc>
          <w:tcPr>
            <w:tcW w:w="3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4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Value</w:t>
            </w:r>
          </w:p>
        </w:tc>
        <w:tc>
          <w:tcPr>
            <w:tcW w:w="460" w:type="dxa"/>
            <w:vAlign w:val="bottom"/>
          </w:tcPr>
          <w:p>
            <w:pPr>
              <w:spacing w:after="0"/>
              <w:rPr>
                <w:sz w:val="14"/>
                <w:szCs w:val="1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Pr>
          <w:p>
            <w:pPr>
              <w:spacing w:after="0"/>
              <w:rPr>
                <w:sz w:val="14"/>
                <w:szCs w:val="14"/>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eligible for securitization</w:t>
            </w:r>
          </w:p>
        </w:tc>
        <w:tc>
          <w:tcPr>
            <w:tcW w:w="1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$159</w:t>
            </w:r>
          </w:p>
        </w:tc>
        <w:tc>
          <w:tcPr>
            <w:tcW w:w="4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Vacation ownership notes receivable – not eligible for securitization</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202</w:t>
            </w:r>
          </w:p>
        </w:tc>
        <w:tc>
          <w:tcPr>
            <w:tcW w:w="4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202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198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198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 – non-securitized</w:t>
            </w:r>
          </w:p>
        </w:tc>
        <w:tc>
          <w:tcPr>
            <w:tcW w:w="138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w:t>
            </w:r>
          </w:p>
        </w:tc>
        <w:tc>
          <w:tcPr>
            <w:tcW w:w="66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u w:val="single" w:color="auto"/>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estimate the fair value of a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and loan terms.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internally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timeshare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internally generate cash flow estimates by modeling all funding activity for our non-recourse warehouse credit facility (the “Warehouse Credit Facility”) with consideration given to the collateral pledged to date. The key drivers in our analysis include default rates, prepayment rates, bond interest rates and structural factors, which we use to estimate the projected cash flows. The discount rate used to calculate the fair value of these cash flows is composed of the market swap rate for the specific average life of the cash flows plus a credit spread. Because the Warehouse Credit Facility debt is not traded in the market, we use a credit spread which is the average of indicative credit spreads obtained from investment banks on our securitized debt for the particular rating that the Warehouse Credit Facility is structured to achieve.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determine the carrying value of the future redemption obligation of our liability for the Marriott Rewards customer loyalty program based on statistical formulas that project the timing of future redemption of Marriott Rewards Points based on historical levels, including estimates of the Marriott Rewards Points that will eventually be redeemed and the “breakage” for points that will never be redeemed, as discussed in Footnote No. 12, “Other Liabilities.” We estimate the fair value of the future redemption obligation by adjusting the contractual discount rate to an estimate of that of a market participant with similar nonperformance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estimate the fair value of our other liabilities that are financial instruments using expected future payments discounted at risk-adjusted rates. These liabilities represent guarantee costs and reserves and deposit liabilities. The carrying values of our guarantee costs and reserves approximate their fair values. We estimate the fair value of our deposit liabilities primarily by discounting future payments at a risk-adjusted rate.</w:t>
      </w:r>
    </w:p>
    <w:p>
      <w:pPr>
        <w:spacing w:after="0" w:line="182" w:lineRule="exact"/>
        <w:rPr>
          <w:sz w:val="20"/>
          <w:szCs w:val="20"/>
          <w:color w:val="auto"/>
        </w:rPr>
      </w:pPr>
    </w:p>
    <w:p>
      <w:pPr>
        <w:ind w:right="8200" w:firstLine="8"/>
        <w:spacing w:after="0" w:line="391" w:lineRule="auto"/>
        <w:tabs>
          <w:tab w:leader="none" w:pos="176"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i w:val="1"/>
          <w:iCs w:val="1"/>
          <w:color w:val="auto"/>
        </w:rPr>
        <w:t>2012 Acquisitions and Dispositions</w:t>
      </w:r>
    </w:p>
    <w:p>
      <w:pPr>
        <w:spacing w:after="0" w:line="1"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 2012, we paid into escrow the remaining $7 million of the $18 million purchase price for certain vacation ownership units and expect to complete the acquisition during 2013. We previously made deposits of $11 million in conjunction with this transaction, and we paid the remaining $7 million into escrow in 2012.</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2012, we completed the sale of the golf course, clubhouse and spa formerly known as The Ritz-Carlton Golf Club and Spa, Jupiter, classified within our Luxury segment, for $34 million, including $5 million of cash and the assumption by the purchaser of liabilities with a book value of $29 million. We accounted for the sale under the full accrual method and recorded a net gain of $8 million in Gains and other income on our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Acquisitions and Dispositions</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2011, we completed a bulk sale of land and developed inventory, classified as inventory within our Luxury segment. Net cash proceeds from the sale totaled $17 million and we recorded a net gain of $2 million. We accounted for the sale under the full accrual method in accordance with the guidance on accounting for sales of real estate. We made no significant acquisitions in 2011.</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Acquisitions and Dispositions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2010, we acquired vacation ownership units for sale in our Luxury segment for cash consideration of $111 million, which included a deposit of $11 million, paid in 2009.</w:t>
      </w:r>
    </w:p>
    <w:p>
      <w:pPr>
        <w:spacing w:after="0" w:line="132"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In 2010, we sold one operating hotel, classified within property and equipment within our Asia Pacific segment, that we acquired for conversion to vacation ownership products. Net cash proceeds from the sale totaled $38 million and we recorded a net gain of $21 million in Gains and other income on our Statements of Operations. We accounted for the sale under the full accrual method in accordance with the guidance on accounting for sales of real estate.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Basic earnings (loss) per common share is calculated by dividing net income (loss) attributable to common shareholders by the weighted average number of shares of common stock issued and outstanding during the reporting period. Diluted earnings (loss) per common share is calculated to give effect to all potentially dilutive common shares that were outstanding during the reporting period. The dilutive effect of outstanding equity-based compensation awards is reflected in diluted earnings (loss) per common share by application of the treasury stock method using average market prices during the period.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November 21, 2011, we ceased to be a subsidiary of Marriott International and became an independent publicly traded company. On November 21, 2011, Marriott International distributed 33.7 million shares of $.01 par value Marriott Vacations Worldwide common stock to Marriott International’s shareholders of record as of the close of business Eastern time on the record date of November 10, 2011. This share amount is being utilized for the calculation of basic earnings (loss) per common share for periods presented prior to 2011 because all 100 shares of our common stock outstanding prior to November 21, 2011 were held by Marriott International. For periods prior to 2011, the same number of shares is being used for diluted earnings (loss) per common share as for basic earnings (loss) per common share as no dilutive securities were outstanding for any prior period.</w:t>
      </w:r>
    </w:p>
    <w:p>
      <w:pPr>
        <w:spacing w:after="0" w:line="120"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For 2011, in determining the weighted average number of common shares outstanding for basic income (loss) per common share, we assumed 33.7 million shares were outstanding for the period from January 1, 2011 through November 20, 2011. Diluted income (loss) per common share subsequent to the distribution date of November 21, 2011 reflects the potential dilution of outstanding equity-based compensation awards by application of the treasury stock method.</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illustrates the reconciliation of the earnings (loss) and number of shares used in our calculation of basic and diluted earnings (loss) per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136"/>
              <w:spacing w:after="0" w:line="135" w:lineRule="exact"/>
              <w:rPr>
                <w:sz w:val="20"/>
                <w:szCs w:val="20"/>
                <w:color w:val="auto"/>
              </w:rPr>
            </w:pPr>
            <w:r>
              <w:rPr>
                <w:rFonts w:ascii="Arial" w:cs="Arial" w:eastAsia="Arial" w:hAnsi="Arial"/>
                <w:sz w:val="14"/>
                <w:szCs w:val="14"/>
                <w:b w:val="1"/>
                <w:bCs w:val="1"/>
                <w:color w:val="auto"/>
              </w:rPr>
              <w:t>28,</w:t>
            </w:r>
          </w:p>
        </w:tc>
        <w:tc>
          <w:tcPr>
            <w:tcW w:w="780" w:type="dxa"/>
            <w:vAlign w:val="bottom"/>
          </w:tcPr>
          <w:p>
            <w:pPr>
              <w:spacing w:after="0"/>
              <w:rPr>
                <w:sz w:val="11"/>
                <w:szCs w:val="11"/>
                <w:color w:val="auto"/>
              </w:rPr>
            </w:pPr>
          </w:p>
        </w:tc>
        <w:tc>
          <w:tcPr>
            <w:tcW w:w="120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December 30,</w:t>
            </w:r>
          </w:p>
        </w:tc>
        <w:tc>
          <w:tcPr>
            <w:tcW w:w="38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6"/>
        </w:trPr>
        <w:tc>
          <w:tcPr>
            <w:tcW w:w="920" w:type="dxa"/>
            <w:vAlign w:val="bottom"/>
          </w:tcPr>
          <w:p>
            <w:pPr>
              <w:spacing w:after="0"/>
              <w:rPr>
                <w:sz w:val="15"/>
                <w:szCs w:val="15"/>
                <w:color w:val="auto"/>
              </w:rPr>
            </w:pPr>
          </w:p>
        </w:tc>
        <w:tc>
          <w:tcPr>
            <w:tcW w:w="57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3"/>
                <w:szCs w:val="13"/>
                <w:b w:val="1"/>
                <w:bCs w:val="1"/>
                <w:color w:val="auto"/>
                <w:w w:val="88"/>
              </w:rPr>
              <w:t>2012</w:t>
            </w:r>
            <w:r>
              <w:rPr>
                <w:rFonts w:ascii="Arial" w:cs="Arial" w:eastAsia="Arial" w:hAnsi="Arial"/>
                <w:sz w:val="20"/>
                <w:szCs w:val="20"/>
                <w:b w:val="1"/>
                <w:bCs w:val="1"/>
                <w:color w:val="auto"/>
                <w:w w:val="88"/>
                <w:vertAlign w:val="superscript"/>
              </w:rPr>
              <w:t>(1)</w:t>
            </w: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Computation of Basic Earnings (Loss) Per Share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80" w:type="dxa"/>
            <w:vAlign w:val="bottom"/>
            <w:vMerge w:val="restart"/>
          </w:tcPr>
          <w:p>
            <w:pPr>
              <w:ind w:left="200"/>
              <w:spacing w:after="0"/>
              <w:rPr>
                <w:sz w:val="20"/>
                <w:szCs w:val="20"/>
                <w:color w:val="auto"/>
              </w:rPr>
            </w:pPr>
            <w:r>
              <w:rPr>
                <w:rFonts w:ascii="Arial" w:cs="Arial" w:eastAsia="Arial" w:hAnsi="Arial"/>
                <w:sz w:val="18"/>
                <w:szCs w:val="18"/>
                <w:color w:val="auto"/>
              </w:rPr>
              <w:t>Basic earnings (loss) per share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0.46</w:t>
            </w:r>
          </w:p>
        </w:tc>
        <w:tc>
          <w:tcPr>
            <w:tcW w:w="7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(5.29)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Computation of Diluted Earnings (Loss)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(178)</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Effect of dilutive securities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Employee stock options and SARs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tcPr>
          <w:p>
            <w:pPr>
              <w:ind w:left="640"/>
              <w:spacing w:after="0"/>
              <w:rPr>
                <w:sz w:val="20"/>
                <w:szCs w:val="20"/>
                <w:color w:val="auto"/>
              </w:rPr>
            </w:pPr>
            <w:r>
              <w:rPr>
                <w:rFonts w:ascii="Arial" w:cs="Arial" w:eastAsia="Arial" w:hAnsi="Arial"/>
                <w:sz w:val="18"/>
                <w:szCs w:val="18"/>
                <w:color w:val="auto"/>
              </w:rPr>
              <w:t>Restricted stock units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0.80</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for diluted earnings (loss) per share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80" w:type="dxa"/>
            <w:vAlign w:val="bottom"/>
            <w:vMerge w:val="restart"/>
          </w:tcPr>
          <w:p>
            <w:pPr>
              <w:ind w:left="200"/>
              <w:spacing w:after="0"/>
              <w:rPr>
                <w:sz w:val="20"/>
                <w:szCs w:val="20"/>
                <w:color w:val="auto"/>
              </w:rPr>
            </w:pPr>
            <w:r>
              <w:rPr>
                <w:rFonts w:ascii="Arial" w:cs="Arial" w:eastAsia="Arial" w:hAnsi="Arial"/>
                <w:sz w:val="18"/>
                <w:szCs w:val="18"/>
                <w:color w:val="auto"/>
              </w:rPr>
              <w:t>Diluted earnings (loss) per share</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0.44</w:t>
            </w:r>
          </w:p>
        </w:tc>
        <w:tc>
          <w:tcPr>
            <w:tcW w:w="7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(5.29)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8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performance awards that, depending upon achievement of performance-based criteria, could result in the issuance of a maximum of approximately 157,000 shares of common stock.</w:t>
      </w:r>
    </w:p>
    <w:p>
      <w:pPr>
        <w:spacing w:after="0" w:line="132"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excluded 2,127 shares of the common stock underlying SARs with exercise prices ranging from $32.74 to $40.97 in our calculation of diluted earnings (loss) per share for the year ended December 28, 2012, because those exercise prices were greater than the average market prices for the applicable period.</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9"/>
              </w:rPr>
              <w:t>At Year-End</w:t>
            </w:r>
          </w:p>
        </w:tc>
        <w:tc>
          <w:tcPr>
            <w:tcW w:w="1660" w:type="dxa"/>
            <w:vAlign w:val="bottom"/>
            <w:gridSpan w:val="4"/>
          </w:tcPr>
          <w:p>
            <w:pPr>
              <w:ind w:left="820"/>
              <w:spacing w:after="0"/>
              <w:rPr>
                <w:sz w:val="20"/>
                <w:szCs w:val="20"/>
                <w:color w:val="auto"/>
              </w:rPr>
            </w:pPr>
            <w:r>
              <w:rPr>
                <w:rFonts w:ascii="Arial" w:cs="Arial" w:eastAsia="Arial" w:hAnsi="Arial"/>
                <w:sz w:val="14"/>
                <w:szCs w:val="14"/>
                <w:b w:val="1"/>
                <w:bCs w:val="1"/>
                <w:color w:val="auto"/>
              </w:rPr>
              <w:t>At Year-End</w:t>
            </w:r>
          </w:p>
        </w:tc>
      </w:tr>
      <w:tr>
        <w:trPr>
          <w:trHeight w:val="161"/>
        </w:trPr>
        <w:tc>
          <w:tcPr>
            <w:tcW w:w="6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r>
              <w:rPr>
                <w:rFonts w:ascii="Arial" w:cs="Arial" w:eastAsia="Arial" w:hAnsi="Arial"/>
                <w:sz w:val="11"/>
                <w:szCs w:val="11"/>
                <w:color w:val="auto"/>
              </w:rPr>
              <w:t>(1)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Work-in-progress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r>
      <w:tr>
        <w:trPr>
          <w:trHeight w:val="221"/>
        </w:trPr>
        <w:tc>
          <w:tcPr>
            <w:tcW w:w="6280" w:type="dxa"/>
            <w:vAlign w:val="bottom"/>
          </w:tcPr>
          <w:p>
            <w:pPr>
              <w:ind w:left="440"/>
              <w:spacing w:after="0"/>
              <w:rPr>
                <w:sz w:val="20"/>
                <w:szCs w:val="20"/>
                <w:color w:val="auto"/>
              </w:rPr>
            </w:pPr>
            <w:r>
              <w:rPr>
                <w:rFonts w:ascii="Arial" w:cs="Arial" w:eastAsia="Arial" w:hAnsi="Arial"/>
                <w:sz w:val="18"/>
                <w:szCs w:val="18"/>
                <w:color w:val="auto"/>
              </w:rPr>
              <w:t>Real estate inventory</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874</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completed inventory that is either registered or unregistered and available for sale in its current form.</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Interest capitalized as a cost of inventory totaled $3 million, $7 million and $3 million in 2012, 2011 and 2010, respectively.</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At Year-End</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At Year-End</w:t>
            </w:r>
          </w:p>
        </w:tc>
      </w:tr>
      <w:tr>
        <w:trPr>
          <w:trHeight w:val="161"/>
        </w:trPr>
        <w:tc>
          <w:tcPr>
            <w:tcW w:w="6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Information technology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r>
      <w:tr>
        <w:trPr>
          <w:trHeight w:val="221"/>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19"/>
                <w:szCs w:val="19"/>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622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480" w:type="dxa"/>
            <w:vAlign w:val="bottom"/>
          </w:tcPr>
          <w:p>
            <w:pPr>
              <w:spacing w:after="0"/>
              <w:rPr>
                <w:sz w:val="19"/>
                <w:szCs w:val="19"/>
                <w:color w:val="auto"/>
              </w:rPr>
            </w:pPr>
          </w:p>
        </w:tc>
        <w:tc>
          <w:tcPr>
            <w:tcW w:w="5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Interest capitalized as a cost of property and equipment totaled less than $1 million in each of 2012, 2011 and 2010. Depreciation expense totaled $30 million in 2012, $33 million in 2011 and $35 million in 2010.</w:t>
      </w:r>
    </w:p>
    <w:p>
      <w:pPr>
        <w:spacing w:after="0" w:line="207" w:lineRule="exact"/>
        <w:rPr>
          <w:sz w:val="20"/>
          <w:szCs w:val="20"/>
          <w:color w:val="auto"/>
        </w:rPr>
      </w:pPr>
    </w:p>
    <w:p>
      <w:pPr>
        <w:ind w:right="7840" w:firstLine="8"/>
        <w:spacing w:after="0" w:line="347" w:lineRule="auto"/>
        <w:tabs>
          <w:tab w:leader="none" w:pos="17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AND COMMITMENTS </w:t>
      </w:r>
      <w:r>
        <w:rPr>
          <w:rFonts w:ascii="Arial" w:cs="Arial" w:eastAsia="Arial" w:hAnsi="Arial"/>
          <w:sz w:val="18"/>
          <w:szCs w:val="18"/>
          <w:i w:val="1"/>
          <w:iCs w:val="1"/>
          <w:color w:val="auto"/>
        </w:rPr>
        <w:t>Guarantees</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issue guarantees to certain lenders in connection with the provision of third-party financing for our sales of vacation ownership products for the Luxury and Asia Pacific segments. The terms of guarantees to lenders generally require us to fund if the purchaser fails to pay under the term of its note payable. Prior to the Spin-Off, Marriott International guaranteed our performance under these arrangements, and subsequent to the Spin-Off continues to hold a standby letter of credit related to the Asia Pacific segment guarantee. If Marriott International is required to fund any draws by lenders under this letter of credit it would seek recourse from us. Marriott International no longer guarantees our performance with respect to third-party financing for sales of products in the Luxury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ind w:right="180"/>
              <w:spacing w:after="0"/>
              <w:rPr>
                <w:sz w:val="20"/>
                <w:szCs w:val="20"/>
                <w:color w:val="auto"/>
              </w:rPr>
            </w:pPr>
            <w:r>
              <w:rPr>
                <w:rFonts w:ascii="Arial" w:cs="Arial" w:eastAsia="Arial" w:hAnsi="Arial"/>
                <w:sz w:val="14"/>
                <w:szCs w:val="14"/>
                <w:b w:val="1"/>
                <w:bCs w:val="1"/>
                <w:color w:val="auto"/>
                <w:w w:val="94"/>
              </w:rPr>
              <w:t>Maximum Potential</w:t>
            </w:r>
          </w:p>
        </w:tc>
        <w:tc>
          <w:tcPr>
            <w:tcW w:w="2580" w:type="dxa"/>
            <w:vAlign w:val="bottom"/>
            <w:gridSpan w:val="4"/>
          </w:tcPr>
          <w:p>
            <w:pPr>
              <w:ind w:left="1200"/>
              <w:spacing w:after="0"/>
              <w:rPr>
                <w:sz w:val="20"/>
                <w:szCs w:val="20"/>
                <w:color w:val="auto"/>
              </w:rPr>
            </w:pPr>
            <w:r>
              <w:rPr>
                <w:rFonts w:ascii="Arial" w:cs="Arial" w:eastAsia="Arial" w:hAnsi="Arial"/>
                <w:sz w:val="14"/>
                <w:szCs w:val="14"/>
                <w:b w:val="1"/>
                <w:bCs w:val="1"/>
                <w:color w:val="auto"/>
                <w:w w:val="96"/>
              </w:rPr>
              <w:t>Liability for Expected</w:t>
            </w:r>
          </w:p>
        </w:tc>
      </w:tr>
      <w:tr>
        <w:trPr>
          <w:trHeight w:val="149"/>
        </w:trPr>
        <w:tc>
          <w:tcPr>
            <w:tcW w:w="4460" w:type="dxa"/>
            <w:vAlign w:val="bottom"/>
          </w:tcPr>
          <w:p>
            <w:pPr>
              <w:spacing w:after="0"/>
              <w:rPr>
                <w:sz w:val="12"/>
                <w:szCs w:val="12"/>
                <w:color w:val="auto"/>
              </w:rPr>
            </w:pPr>
          </w:p>
        </w:tc>
        <w:tc>
          <w:tcPr>
            <w:tcW w:w="1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Amount of Future Fundings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Future Fundings</w:t>
            </w:r>
          </w:p>
        </w:tc>
      </w:tr>
      <w:tr>
        <w:trPr>
          <w:trHeight w:val="161"/>
        </w:trPr>
        <w:tc>
          <w:tcPr>
            <w:tcW w:w="44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1480" w:type="dxa"/>
            <w:vAlign w:val="bottom"/>
          </w:tcPr>
          <w:p>
            <w:pPr>
              <w:jc w:val="right"/>
              <w:ind w:right="240"/>
              <w:spacing w:after="0"/>
              <w:rPr>
                <w:sz w:val="20"/>
                <w:szCs w:val="20"/>
                <w:color w:val="auto"/>
              </w:rPr>
            </w:pPr>
            <w:r>
              <w:rPr>
                <w:rFonts w:ascii="Arial" w:cs="Arial" w:eastAsia="Arial" w:hAnsi="Arial"/>
                <w:sz w:val="14"/>
                <w:szCs w:val="14"/>
                <w:b w:val="1"/>
                <w:bCs w:val="1"/>
                <w:color w:val="auto"/>
              </w:rPr>
              <w:t>at Year-End 2012</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at Year-End 2012</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Segment</w:t>
            </w: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Luxury</w:t>
            </w: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5"/>
        </w:trPr>
        <w:tc>
          <w:tcPr>
            <w:tcW w:w="4460" w:type="dxa"/>
            <w:vAlign w:val="bottom"/>
          </w:tcPr>
          <w:p>
            <w:pPr>
              <w:spacing w:after="0"/>
              <w:rPr>
                <w:sz w:val="20"/>
                <w:szCs w:val="20"/>
                <w:color w:val="auto"/>
              </w:rPr>
            </w:pPr>
            <w:r>
              <w:rPr>
                <w:rFonts w:ascii="Arial" w:cs="Arial" w:eastAsia="Arial" w:hAnsi="Arial"/>
                <w:sz w:val="18"/>
                <w:szCs w:val="18"/>
                <w:color w:val="auto"/>
              </w:rPr>
              <w:t>Total guarantees where we are the primary</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460" w:type="dxa"/>
            <w:vAlign w:val="bottom"/>
          </w:tcPr>
          <w:p>
            <w:pPr>
              <w:ind w:left="220"/>
              <w:spacing w:after="0"/>
              <w:rPr>
                <w:sz w:val="20"/>
                <w:szCs w:val="20"/>
                <w:color w:val="auto"/>
              </w:rPr>
            </w:pPr>
            <w:r>
              <w:rPr>
                <w:rFonts w:ascii="Arial" w:cs="Arial" w:eastAsia="Arial" w:hAnsi="Arial"/>
                <w:sz w:val="18"/>
                <w:szCs w:val="18"/>
                <w:color w:val="auto"/>
              </w:rPr>
              <w:t>obligor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1320" w:type="dxa"/>
            <w:vAlign w:val="bottom"/>
            <w:gridSpan w:val="2"/>
          </w:tcPr>
          <w:p>
            <w:pPr>
              <w:ind w:left="12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included our liability for expected future fundings for guarantees in our Balance Sheets in the Other caption within Liabilities.</w:t>
      </w:r>
    </w:p>
    <w:p>
      <w:pPr>
        <w:spacing w:after="0" w:line="17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guarantees we describe in the preceding paragraphs, in conjunction with financing obtained for specific projects or properties owned by joint ventures in which we are a party, we may provide industry standard indemnifications to the lender for loss, liability or damage occurring as a result of the actions of the other joint venture owners or our own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guarantees we note in the preceding paragraphs, as of December 28, 2012, we had the following commitments outstanding:</w:t>
      </w:r>
    </w:p>
    <w:p>
      <w:pPr>
        <w:spacing w:after="0" w:line="113" w:lineRule="exact"/>
        <w:rPr>
          <w:sz w:val="20"/>
          <w:szCs w:val="20"/>
          <w:color w:val="auto"/>
        </w:rPr>
      </w:pPr>
    </w:p>
    <w:p>
      <w:pPr>
        <w:ind w:left="900" w:right="2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$2 million (€1 million) of other purchase commitments that we expect to fund over the next two years, as follows: $1 million in each of 2013 and 2014.</w:t>
      </w:r>
    </w:p>
    <w:p>
      <w:pPr>
        <w:spacing w:after="0" w:line="50"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$38 million, of which we expect $10 million, $9 million, $9 million, $5 million and $5 million will be paid in 2013, 2014, 2015, 2016 and 2017, respectively.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$7 million, which we expect will be paid in 2013.</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Surety bonds issued as of December 28, 2012 totaled $91 million, the majority of which were requested by federal, state or local governments related to our operations.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Prior to the Spin-Off, Marriott International also guaranteed our performance using letters of credit under certain agreements necessary to operate our Europe segment. Subsequent to the Spin-Off, Marriott International continues to hold $1 million of standby letters of credit related to these guarantees. If Marriott International is required to fund any draws under these letters of credit it would seek recourse from us.</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Additionally, as of December 28, 2012, we had $6 million of letters of credit outstanding under our four-year $200 million revolving credit facility (the “Revolving Corporate Credit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9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In 2012, we agreed to settle two lawsuits in which certain of our subsidiaries were defendants. The plaintiffs in the lawsuits, residential unit owners at The Ritz-Carlton Club and Residences, San Francisco (the “RCC San Francisco”), a project within our Luxury segment, questioned the adequacy of disclosures made prior to 2008, when our business was part of Marriott International, regarding bonds issued for that project under California’s Mello-Roos Community Facilities Act of 1982 (the “Mello-Roos Act”) and their payment obligations with respect to such bonds.</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 third lawsuit is pending in which one owner at the RCC San Francisco has asserted similar claims. This lawsuit is distinct from the settled lawsuits, and we believe that we have defenses with respect to the claims asserted in such lawsuit and intend to vigorously defend against it.</w:t>
      </w:r>
    </w:p>
    <w:p>
      <w:pPr>
        <w:spacing w:after="0" w:line="8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As a result of the settlements and the pending lawsuit, we recorded a charge in connection with these matters of $41 million in the year ended December 28, 2012, of which $39 million was recorded in the 2012 fourth quarter. In addition, we repurchased units owned by certain of the plaintiffs in the settled lawsuits which were recorded in inventory at fair value less cost to sell of $13 million. We used Level 3 inputs in a discounted cash flow model to determine the fair value of these assets. While we believe that the amounts accrued will be adequate, depending on the outcome of the pending lawsuit, we may be required to record additional charges in connection with the remaining matter.</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 additional lawsuit has been filed against us primarily relating to disclosure provided to purchasers of fractional interests at the RCC San Francisco. On December 21, 2012, Jon Benner, an owner of fractional interests in the RCC San Francisco, filed suit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Superior Court for the State of California, County of San Francisco against us and certain of our subsidiaries on behalf of a putative class consisting of all owners of fractional interests at the RCC San Francisco who allegedly did not receive proper notice of their payment obligations under the Mello-Roos Act. The plaintiff alleges that the disclosures made about bonds issued for the project under this Act and the payment obligations of fractional interest purchasers with respect to such bonds were inadequate, and this and other alleged statutory violations constitute intentional and negligent misrepresentation, fraud and fraudulent concealment. The relief sought includes damages in an unspecified amount, rescission of the purchases, restitution and disgorgement of profits. This lawsuit is distinct from the other lawsuits described above relating to the RCC San Francisco because the disclosure process for the sale of fractional interests differs from that applicable to the sale of whole-ownership units. We dispute the material allegations in the complaint and intend to vigorously defend this action. Given the early stages of the action, we cannot at this time estimate a range of the potential liability, if any.</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11, 2012, Steven B. Hoyt and Bradley A. Hoyt, purchasers of fractional interests in two Ritz-Carlton Club projects, filed suit in the United States District Court for the District of Minnesota against us, certain of our subsidiaries and The Ritz-Carlton Hotel Company, L.L.C. on behalf of a putative class consisting of all purchasers of fractional interests at Ritz-Carlton Club projects. The plaintiffs allege that program changes beginning in 2009 caused an actionable decrease in the value of the fractional interests purchased. The relief sought includes declaratory and injunctive relief, damages in an unspecified amount, rescission of the purchases, restitution, disgorgement of profits, interest and attorneys’ fees. We dispute the material allegations in the complaint and intend to defend this action vigorously. Given the early procedural stages of the action and the inherent uncertainties of litigation, we cannot at this time estimate a range of the potential liability, if any.</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January 30, 2013, Krishna and Sherrie Narayan and 13 other owners of residential units at The Ritz-Carlton Residences, Kapalua Bay (“Kapalua Bay”) filed an amended complaint, related to a suit originally filed in Circuit Court for Maui County, Hawaii in June 2012, against us, certain of our subsidiaries, Marriott International, certain of its subsidiaries, and the joint venture in which we have an equity investment that developed and marketed vacation ownership and residential products at Kapalua Bay. In the original complaint, the plaintiffs alleged that defendants mismanaged funds of the owners association, created a conflict of interest by permitting their employees to serve on the association’s board, and failed to disclose documents to which the plaintiffs were allegedly entitled. In the amended complaint, the plaintiffs allege breach of fiduciary duty, violations of the Hawaii Unfair and Deceptive Trade Practices Act and the Hawaii condominium statute, intentional misrepresentation and concealment, unjust enrichment and civil conspiracy. The relief sought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intend to continue to defend this action vigorously. Given the recent filing of the amended complaint and the inherent uncertainties of litigation, we cannot at this time estimate a range of potential liability, if any.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$164 million, of which $13 million is included within liabilities on our Balance Sheet. This estimate is based on our current development plans, which remain subject to change, and we expect the phases currently under development will be completed by 2016.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various land, real estate and equipment operating leases. The land leases primarily consist of two long-term golf course land leases with terms of 20 and 50 years. The corporate facilities leases are for our corporate headquarters and have lease terms of approximately 8 years. The other operating leases are primarily for office and retail space as well as equipment supporting our operations and have lease terms of between 3 and 10 years. We have summarized our future obligations under operating leases at December 28, 2012 below:</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9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Golf</w:t>
            </w: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Corporate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0"/>
              </w:rPr>
              <w:t>Other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900" w:type="dxa"/>
            <w:vAlign w:val="bottom"/>
          </w:tcPr>
          <w:p>
            <w:pPr>
              <w:spacing w:after="0"/>
              <w:rPr>
                <w:sz w:val="12"/>
                <w:szCs w:val="12"/>
                <w:color w:val="auto"/>
              </w:rPr>
            </w:pPr>
          </w:p>
        </w:tc>
        <w:tc>
          <w:tcPr>
            <w:tcW w:w="9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Land</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Facilities</w:t>
            </w:r>
          </w:p>
        </w:tc>
        <w:tc>
          <w:tcPr>
            <w:tcW w:w="5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520" w:type="dxa"/>
            <w:vAlign w:val="bottom"/>
          </w:tcPr>
          <w:p>
            <w:pPr>
              <w:jc w:val="right"/>
              <w:ind w:right="35"/>
              <w:spacing w:after="0"/>
              <w:rPr>
                <w:sz w:val="20"/>
                <w:szCs w:val="20"/>
                <w:color w:val="auto"/>
              </w:rPr>
            </w:pPr>
            <w:r>
              <w:rPr>
                <w:rFonts w:ascii="Arial" w:cs="Arial" w:eastAsia="Arial" w:hAnsi="Arial"/>
                <w:sz w:val="14"/>
                <w:szCs w:val="14"/>
                <w:b w:val="1"/>
                <w:bCs w:val="1"/>
                <w:color w:val="auto"/>
                <w:w w:val="79"/>
              </w:rPr>
              <w:t>Leases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75"/>
              </w:rPr>
              <w:t>Leases</w:t>
            </w: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4</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ind w:left="440"/>
              <w:spacing w:after="0"/>
              <w:rPr>
                <w:sz w:val="20"/>
                <w:szCs w:val="20"/>
                <w:color w:val="auto"/>
              </w:rPr>
            </w:pPr>
            <w:r>
              <w:rPr>
                <w:rFonts w:ascii="Arial" w:cs="Arial" w:eastAsia="Arial" w:hAnsi="Arial"/>
                <w:sz w:val="18"/>
                <w:szCs w:val="18"/>
                <w:color w:val="auto"/>
              </w:rPr>
              <w:t>Total minimum lease payments</w:t>
            </w: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30</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$ 97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Certain of these leases provide for minimum rentals and additional rentals based on our operations of the leased property. The total minimum lease payments above exclude approximately $7 million in future lease payments which have been accrued on the Balance Sheets as part of historical restructuring charges. The future lease payments accrued as restructuring charges are expected to be paid as follows: $5 million in 2013 and $2 million in 2014.</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details the composition of rent expense associated with operating leases, net of sublease income, for the last three years: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6"/>
              </w:rPr>
              <w:t>2012</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4"/>
                <w:szCs w:val="14"/>
                <w:color w:val="auto"/>
              </w:rPr>
            </w:pPr>
          </w:p>
        </w:tc>
      </w:tr>
      <w:tr>
        <w:trPr>
          <w:trHeight w:val="210"/>
        </w:trPr>
        <w:tc>
          <w:tcPr>
            <w:tcW w:w="7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Minimum rentals</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Additional rentals</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5</w:t>
            </w: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r>
      <w:tr>
        <w:trPr>
          <w:trHeight w:val="27"/>
        </w:trPr>
        <w:tc>
          <w:tcPr>
            <w:tcW w:w="77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15</w:t>
            </w: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17</w:t>
            </w:r>
          </w:p>
        </w:tc>
        <w:tc>
          <w:tcPr>
            <w:tcW w:w="100" w:type="dxa"/>
            <w:vAlign w:val="bottom"/>
            <w:shd w:val="clear" w:color="auto" w:fill="CCEEFF"/>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89"/>
              </w:rPr>
              <w:t>At Year-End</w:t>
            </w:r>
          </w:p>
        </w:tc>
        <w:tc>
          <w:tcPr>
            <w:tcW w:w="1660" w:type="dxa"/>
            <w:vAlign w:val="bottom"/>
            <w:gridSpan w:val="4"/>
          </w:tcPr>
          <w:p>
            <w:pPr>
              <w:ind w:left="820"/>
              <w:spacing w:after="0"/>
              <w:rPr>
                <w:sz w:val="20"/>
                <w:szCs w:val="20"/>
                <w:color w:val="auto"/>
              </w:rPr>
            </w:pPr>
            <w:r>
              <w:rPr>
                <w:rFonts w:ascii="Arial" w:cs="Arial" w:eastAsia="Arial" w:hAnsi="Arial"/>
                <w:sz w:val="14"/>
                <w:szCs w:val="14"/>
                <w:b w:val="1"/>
                <w:bCs w:val="1"/>
                <w:color w:val="auto"/>
              </w:rPr>
              <w:t>At Year-End</w:t>
            </w:r>
          </w:p>
        </w:tc>
      </w:tr>
      <w:tr>
        <w:trPr>
          <w:trHeight w:val="161"/>
        </w:trPr>
        <w:tc>
          <w:tcPr>
            <w:tcW w:w="6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2012</w:t>
            </w: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188"/>
        </w:trPr>
        <w:tc>
          <w:tcPr>
            <w:tcW w:w="628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rPr>
              <w:t>Non-recourse debt associated with securitized notes receivable, interest rates</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ranging from 2.62% to 7.20% (weighted average interest rate of 4.36%)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Warehouse credit facility</w:t>
            </w:r>
          </w:p>
        </w:tc>
        <w:tc>
          <w:tcPr>
            <w:tcW w:w="160" w:type="dxa"/>
            <w:vAlign w:val="bottom"/>
          </w:tcPr>
          <w:p>
            <w:pPr>
              <w:spacing w:after="0"/>
              <w:rPr>
                <w:sz w:val="18"/>
                <w:szCs w:val="18"/>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2"/>
        </w:trPr>
        <w:tc>
          <w:tcPr>
            <w:tcW w:w="6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678</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See Footnote No. 15,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Although no cash borrowings were outstanding as of December 28, 2012 under our Revolving Corporate Credit Facility, any amounts that are borrowed under that facility, as well as obligations with respect to letters of credit issued pursuant to that facility, are secured by a perfected first priority security interest in substantially all of our assets and the assets of the guarantors of that facility, in each case including inventory, subject to certain exceptions.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80"/>
          </w:cols>
          <w:pgMar w:left="240" w:top="459" w:right="3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Non-Recourse</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6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Debt</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8"/>
              </w:rPr>
              <w:t>Other Debt</w:t>
            </w:r>
          </w:p>
        </w:tc>
        <w:tc>
          <w:tcPr>
            <w:tcW w:w="66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Principal Payments Year</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w w:val="71"/>
              </w:rPr>
              <w:t>4</w:t>
            </w:r>
          </w:p>
        </w:tc>
        <w:tc>
          <w:tcPr>
            <w:tcW w:w="6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r>
      <w:tr>
        <w:trPr>
          <w:trHeight w:val="222"/>
        </w:trPr>
        <w:tc>
          <w:tcPr>
            <w:tcW w:w="6320" w:type="dxa"/>
            <w:vAlign w:val="bottom"/>
          </w:tcPr>
          <w:p>
            <w:pPr>
              <w:ind w:left="440"/>
              <w:spacing w:after="0"/>
              <w:rPr>
                <w:sz w:val="20"/>
                <w:szCs w:val="20"/>
                <w:color w:val="auto"/>
              </w:rPr>
            </w:pPr>
            <w:r>
              <w:rPr>
                <w:rFonts w:ascii="Arial" w:cs="Arial" w:eastAsia="Arial" w:hAnsi="Arial"/>
                <w:sz w:val="18"/>
                <w:szCs w:val="18"/>
                <w:color w:val="auto"/>
              </w:rPr>
              <w:t>Balance at December 28, 2012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674</w:t>
            </w:r>
          </w:p>
        </w:tc>
        <w:tc>
          <w:tcPr>
            <w:tcW w:w="66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ind w:left="340"/>
              <w:spacing w:after="0"/>
              <w:rPr>
                <w:sz w:val="20"/>
                <w:szCs w:val="20"/>
                <w:color w:val="auto"/>
              </w:rPr>
            </w:pPr>
            <w:r>
              <w:rPr>
                <w:rFonts w:ascii="Arial" w:cs="Arial" w:eastAsia="Arial" w:hAnsi="Arial"/>
                <w:sz w:val="15"/>
                <w:szCs w:val="15"/>
                <w:color w:val="auto"/>
                <w:w w:val="71"/>
              </w:rPr>
              <w:t>4</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678</w:t>
            </w:r>
          </w:p>
        </w:tc>
        <w:tc>
          <w:tcPr>
            <w:tcW w:w="10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paid cash for interest, net of amounts capitalized, of $38 million in 2012, $45 million in 2011 and $54 million in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Each of our securitized vacation ownership notes receivable pools is subject to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In 2012, four of our securitized vacation ownership notes receivable pools reached performance triggers in different months throughout the year as a result of increased defaults. As of December 28, 2012, performance improved sufficiently in these vacation ownership notes receivable pools and none have reached performance triggers. For 2012 and 2011, approximately $1 million and $3 million, respectively, of cash flows were redirected as a result of reaching the performance triggers during those years. At December 28, 2012, we had 8 securitized vacation ownership notes receivable pools outstanding.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September 11, 2012, we amended and restated agreements associated with the warehouse credit facility that we entered into in September 2011 (as amended by such agreements, the “Warehouse Credit Facility”). The borrowing capacity of the Warehouse Credit Facility is $250 million, and the revolving period will end on September 10, 2014. The Warehouse Credit Facility allows for the securitization of vacation ownership notes receivable on a non-recourse basis. The vacation ownership notes receivable that we securitize under the facility are similar in nature to the vacation ownership notes receivable we have securitized in the past. Borrowings under the Warehouse Credit Facility bear interest at a rate based on the one-month LIBOR and bank conduit commercial paper rates plus 1.5 percent and are limited at any point to the advance rate on the aggregate amount of eligible vacation ownership notes receivable at such time. The advance rate of receivables securitized using the Warehouse Credit Facility will vary based on the characteristics of the obligor on each securitized vacation ownership note receivable.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November 30, 2012, we amended and restated the credit agreement that we closed in November 2011 with a syndicate of banks led by JP Morgan Chase Bank (as amended, the “Revolving Corporate Credit Facility”). The Revolving Corporate Credit Facility has a borrowing capacity of $200 million, including a letter of credit sub-facility of $120 million, and provides support for our business, including ongoing liquidity and letters of credit. The termination date of the commitments of the lenders under the Revolving Corporate Credit Facility is November 21, 2016. Borrowings under the Revolving Corporate Credit Facility generally bear interest at a floating rate at the Eurodollar rate plus an applicable margin that varies from 2 percent to 3.5 percent depending on our credit rating. In addition, we pay a commitment fee on the unused availability under the Revolving Corporate Credit Agreement at a rate that varies from 25 basis points per annum to 55 basis points per annum.</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Revolving Corporate Credit Facility contains affirmative and negative covenants and representations and warranties customary for financings of this type. In addition, the Revolving Corporate Credit Facility contains financial covenants, including covenants requiring us to maintain (1) minimum consolidated tangible net worth of not less than the sum of 80 percent of our consolidated tangible net worth as set forth in our audited financial statements for the fiscal year ended December 30, 2011 plus 80 percent of any increase in consolidated tangible net worth attributable to net cash proceeds received in connection with the issuance of equity after November 21, 2011; (2) a maximum ratio of consolidated total debt to consolidated adjusted EBITDA (as defined in the Revolving Corporate Credit Facility) of 6 to 1 through the end of the first quarter of 2013, at which time the maximum ratio decreases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to 5.25 to 1 through the end of the 2014 fiscal year and to 4.75 to 1 thereafter; and (3) a minimum consolidated adjusted EBITDA, as defined in the Revolving Corporate Credit Facility, to interest expense ratio of not less than 3 to 1. We are also required to maintain a ratio of our borrowing base amount (as calculated under the Revolving Corporate Credit Facility) to total extensions of credit under the Revolving Corporate Credit Facility of at least 1.25 to 1. The Revolving Corporate Credit Facility is guaranteed by Marriott Vacations Worldwide and by each of our direct and indirect, existing and future, domestic subsidiaries (excluding certain bankruptcy remote special purpose subsidiaries), and is secured by a perfected first priority security interest in substantially all of our assets and the assets of the guarantors, subject to certain exceptions. As of December 28, 2012, we were in compliance with the requirements of applicable financial and operating covenants.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MANDATORILY REDEEMABLE PREFERRED STOCK OF CONSOLIDATED SUBSIDIARY</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The Series A preferred stock has an aggregate liquidation preference of $40 million plus any accrued and unpaid dividends and an additional premium if liquidation occurs during the first five years after the issuance of the preferred stock. As of December 28, 2012,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90" w:lineRule="exact"/>
        <w:rPr>
          <w:sz w:val="20"/>
          <w:szCs w:val="20"/>
          <w:color w:val="auto"/>
        </w:rPr>
      </w:pPr>
    </w:p>
    <w:p>
      <w:pPr>
        <w:jc w:val="both"/>
        <w:ind w:right="240" w:firstLine="456"/>
        <w:spacing w:after="0" w:line="298" w:lineRule="auto"/>
        <w:rPr>
          <w:sz w:val="20"/>
          <w:szCs w:val="20"/>
          <w:color w:val="auto"/>
        </w:rPr>
      </w:pPr>
      <w:r>
        <w:rPr>
          <w:rFonts w:ascii="Arial" w:cs="Arial" w:eastAsia="Arial" w:hAnsi="Arial"/>
          <w:sz w:val="16"/>
          <w:szCs w:val="16"/>
          <w:color w:val="auto"/>
        </w:rPr>
        <w:t>We participate in the Marriott Rewards customer loyalty program. Program members earn Marriott Rewards Points based on their purchases of vacation ownership products and/or through exchange and other activities related to our vacation ownership products, as well as through hotel stays and other activities that are not related to our business. Points are tracked on members’ behalf and can be redeemed for stays at most of Marriott International’s lodging properties, airline tickets, airline frequent flyer program miles, rental cars and a variety of other awards; however, points cannot be redeemed for cash.</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Marriott Rewards Points issued prior to 2012, we pay Marriott International upon redemption of Marriott Rewards Points by program members. Historically, we determined the carrying value of the future redemption obligation based on statistical formulas that project timing of future point redemption based on historical levels, including estimates of the points that will eventually be redeemed and the “breakage” for points that will never be redeemed. These judgment factors determine the required liability for outstanding points. The liability is relieved upon redemption of points by program members. Our Marriott Rewards customer loyalty program’s liability for those Marriott Rewards Points issued prior to 2012 totaled $159 million at December 28, 2012, and $225 million at December 30, 2011.</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completed a stress test on the carrying value of our Marriott Rewards customer loyalty program liability for Marriott Rewards Points issued prior to 2012 to measure the change in obligation associated with independent changes in key estimates as described in Footnote No. 1, “Summary of Significant Accounting Policies.” We applied this methodology to unfavorable changes that would be statistically significant and we concluded that each change to a variable shown in the table below would have the following impact on the valuation of our customer loyalty liability at December 28, 2012:</w:t>
      </w:r>
    </w:p>
    <w:p>
      <w:pPr>
        <w:spacing w:after="0" w:line="14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5 percent change in the cost per point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10 percent change in the cost per point</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79"/>
              </w:rPr>
              <w:t>15</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change in the breakage rate</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22"/>
        </w:trPr>
        <w:tc>
          <w:tcPr>
            <w:tcW w:w="5200" w:type="dxa"/>
            <w:vAlign w:val="bottom"/>
          </w:tcPr>
          <w:p>
            <w:pPr>
              <w:spacing w:after="0"/>
              <w:rPr>
                <w:sz w:val="20"/>
                <w:szCs w:val="20"/>
                <w:color w:val="auto"/>
              </w:rPr>
            </w:pPr>
            <w:r>
              <w:rPr>
                <w:rFonts w:ascii="Arial" w:cs="Arial" w:eastAsia="Arial" w:hAnsi="Arial"/>
                <w:sz w:val="18"/>
                <w:szCs w:val="18"/>
                <w:color w:val="auto"/>
              </w:rPr>
              <w:t>200 basis point change in the breakage rate</w:t>
            </w: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79"/>
              </w:rPr>
              <w:t>16</w:t>
            </w:r>
          </w:p>
        </w:tc>
      </w:tr>
    </w:tbl>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Although we did not specifically perform stress tests on the redemption curve because it is difficult to isolate a single quantitative measure against which to perform such a test, changes in the redemption curve could also have an impact on the valuation of our Marriott Rewards customer loyalty program liability for Marriott Rewards Points issued prior to 2012.</w:t>
      </w:r>
    </w:p>
    <w:p>
      <w:pPr>
        <w:spacing w:after="0" w:line="140"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For periods subsequent to 2011, we generally pay Marriott International for Marriott Rewards Points upon issuance. The liability for Marriott Rewards Points issued after 2011 totaled $47 million at December 28, 2012 and $0 at December 30, 2011, and is included within Accrued liabilities on the Balance Sheets.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Liability</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Prior to the Spin-Off, certain of our senior management had the opportunity to supplement their retirement and other tax-deferred savings under the Marriott International, Inc. Executive Deferred Compensation Plan (“Marriott International EDC”), which Marriott International maintains and administers. Under the Marriott International EDC, participating employees may defer payment and income taxation of a portion of their salary and bonus. The plan also gives participants the opportunity for long-term capital appreciation by crediting their accounts with notional earnings (at a fixed annual rate of return of 5.4 percent for 2012 and 5.5 percent for 2011). Additional discretionary contributions to the participant’s EDC accounts may be made based on subjective factors such as individual performance, key contributions and retention needs. No additional discretionary contributions were made for our employees in 2012, less than $1 million were made in 2011 and no additional discretionary contributions were made in 2010. Subsequent to the Spin-Off, we do not offer a similar executive deferred compensation plan, however we remain liable to reimburse Marriott International for distributions for participants that were employees of Marriott Vacations Worldwide at the time of the Spin-Off including earnings thereon.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SHAREHOLDERS’ EQUITY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Marriott Vacations Worldwide has 100,000,000 authorized shares of common stock, par value of $.01 per share and 2,000,000 authorized shares of preferred stock, par value of $.01 per share. At December 28, 2012, 35,026,533 shares of Marriott Vacations Worldwide common stock were outstanding and zero shares of Marriott Vacations Worldwide preferred stock were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Vacations Worldwide Share-Based Compensation Plans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maintain the Marriott Vacations Worldwide Stock Plan for the benefit of our officers, directors and employees. Under the Marriott Vacations Worldwide Stock Plan, we award to certain of our employees: (1) stock options to purchase Marriott Vacations Worldwide common stock (“Stock Option Program”);</w:t>
      </w:r>
    </w:p>
    <w:p>
      <w:pPr>
        <w:ind w:right="120" w:firstLine="8"/>
        <w:spacing w:after="0" w:line="252" w:lineRule="auto"/>
        <w:tabs>
          <w:tab w:leader="none" w:pos="249"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SARs for Marriott Vacations Worldwide common stock (“SAR Program”); and (3) RSUs of Marriott Vacations Worldwide common stock. In addition, pursuant to the Separation and Distribution Agreement, we agreed to issue awards under the Marriott Vacations Worldwide Stock Plan to certain current and former directors, officers, and employees of Marriott International who held awards under the Marriott International Stock Plan relating to Marriott International common stock at November 10, 2011, the record date for the Spin-Off. A total of 6 million shares are authorized for issuance under the Marriott Vacations Worldwide Stock Plan. As of December 28, 2012, approximately 2 million shares were available for grants under the Marriott Vacations Worldwide Stock Plan subsequent to the issuance of shares effective with the Spin-Off.</w:t>
      </w:r>
    </w:p>
    <w:p>
      <w:pPr>
        <w:spacing w:after="0" w:line="148"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Effective as of the completion of the Spin-Off, all holders of Marriott International RSUs on the November 10, 2011 record date for the Spin-Off received Marriott Vacations Worldwide RSUs in an amount consistent with the Distribution Ratio, with terms and conditions substantially similar to the terms and conditions applicable to the Marriott International RSUs. Also, effective as of the completion of the Spin-Off, the holders of Marriott International stock options and SARs on the record date received Marriott Vacations Worldwide stock options and SARs, in an amount consistent with the Distribution Ratio, with terms and conditions substantially similar to the terms and conditions applicable to the Marriott International stock options and SARs.</w:t>
      </w:r>
    </w:p>
    <w:p>
      <w:pPr>
        <w:spacing w:after="0" w:line="116"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exercise prices of the outstanding Marriott International stock options and SARs were adjusted, and the exercise prices of the Marriott Vacations Worldwide stock options and SARs were set, in a manner intended to preserve the aggregate intrinsic value of the stock options and SARs prior to the Spin-Off. The exercise prices of the Marriott International awards were adjusted based on the proportion of the Marriott International ex-distribution closing stock price to the sum of the total of the Marriott International ex-distribution and Marriott Vacations Worldwide “when issued” closing stock prices on the distribution date.</w:t>
      </w:r>
    </w:p>
    <w:p>
      <w:pPr>
        <w:spacing w:after="0" w:line="9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exercise prices of the Marriott Vacations Worldwide awards were set based on the proportion of the Marriott Vacations Worldwide “when issued” closing stock price on the distribution date to the sum of the total of the Marriott International ex-distribution and Marriott Vacations Worldwide “when issued” closing stock prices on the distribution date. These adjustments were designed to equalize the fair value of each award before and after the Spin-Off.</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Deferred compensation costs as of the date of the Spin-Off reflected the unamortized balance of the original grant date fair value of the equity awards held by Marriott Vacations Worldwide employees (regardless of whether those awards are linked to Marriott International stock or Marriott Vacations Worldwide stock).</w:t>
      </w:r>
    </w:p>
    <w:p>
      <w:pPr>
        <w:spacing w:after="0" w:line="14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Accordingly, in connection with the Spin-Off, we issued RSUs, SARs, and stock options to current and former directors, officers, and employees of Marriott International and Marriott Vacations Worldwide as described above.</w:t>
      </w:r>
    </w:p>
    <w:p>
      <w:pPr>
        <w:spacing w:after="0" w:line="13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For all share-based awards, we measure compensation expense related to share-based payment transactions with our employees at fair value on the grant date and recognize this expense in the Statement of Operations over the vesting period during which the employees provide service in exchange for the award. Subsequent to the Spin-Off, we recognize share-based compensation expense related to our employees and Marriott International recognizes compensation expense related to Marriott International employees, regardless of whether the underlying awards represent Marriott International or Marriott Vacations Worldwide awards.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recorded share-based compensation expense related to award grants to our employees of $12 million in 2012, $11 million in 2011 and $10 million in 2010. Deferred compensation costs related to unvested awards held by our employees totaled $14 million at December 28, 2012 and $19 million at December 30, 2011. As of December 28, 2012, we expect that deferred compensation expense for our employees will be recognized over a weighted average period of two years.</w:t>
      </w:r>
    </w:p>
    <w:p>
      <w:pPr>
        <w:spacing w:after="0" w:line="143"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For Marriott International Stock Plan awards granted after 2005, we recognized share-based compensation expense over the period from the grant date to the date on which the award is no longer contingent on the employee providing additional service (the “substantive vesting period”). We continued to follow the stated vesting period for the unvested portion of Marriott International Stock Plan awards granted to our employees before 2006 and the adoption of the current guidance for share-based compensation and follow the substantive vesting period for Marriott International Stock Plan and Marriott Vacations Worldwide Stock Plan awards granted to our employees after 2005.</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In accordance with the guidance for share-based compensation, we presented the tax benefits and costs resulting from the exercise or vesting of Marriott International Stock Plan share-based awards related to our employees as financing cash flows. The exercise of share-based awards for our employees resulted in tax benefits of $3 million in 2012, less than $1 million in 2011 and $3 million in 2010.</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Marriott International received $3 million in 2012, $2 million in 2011 and $12 million in 2010 in cash from our employees for the exercise of stock options granted under the Marriott International Stock Plan. We received less than $1 million in cash from our employees for the exercise of Marriott Vacations Worldwide stock options prior to 2012. Approximately $1 million of Marriott Vacations Worldwide stock options were exercised prior to December 30, 2011; however cash proceeds had not yet been paid to us by our stock plan service provider as of December 30, 2011.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RSUs issued to our employees under the Marriott International Stock Plan and the Marriott Vacations Worldwide Stock Plan generally vest over four years in annual installments commencing one year after the date of grant. We recognize compensation expense for the RSUs over the service period equal to the fair market value of the stock units on the date of issuance. At year-end 2012 and 2011, we had approximately $13 million and $16 million, respectively, in deferred compensation costs related to RSUs for our employees granted under the Marriott International Stock Plan and Marriott Vacations Worldwide Stock Plan. The weighted average remaining term for RSU grants outstanding at year-end 2012 for our employees was two years.</w:t>
      </w:r>
    </w:p>
    <w:p>
      <w:pPr>
        <w:spacing w:after="0" w:line="116" w:lineRule="exact"/>
        <w:rPr>
          <w:sz w:val="20"/>
          <w:szCs w:val="20"/>
          <w:color w:val="auto"/>
        </w:rPr>
      </w:pPr>
    </w:p>
    <w:p>
      <w:pPr>
        <w:jc w:val="both"/>
        <w:ind w:right="420" w:firstLine="456"/>
        <w:spacing w:after="0" w:line="306" w:lineRule="auto"/>
        <w:rPr>
          <w:sz w:val="20"/>
          <w:szCs w:val="20"/>
          <w:color w:val="auto"/>
        </w:rPr>
      </w:pPr>
      <w:r>
        <w:rPr>
          <w:rFonts w:ascii="Arial" w:cs="Arial" w:eastAsia="Arial" w:hAnsi="Arial"/>
          <w:sz w:val="16"/>
          <w:szCs w:val="16"/>
          <w:color w:val="auto"/>
        </w:rPr>
        <w:t>During 2012, we granted RSUs with performance-based vesting criteria to key members of management. The number of RSUs earned, if any, will be determined following the end of a three-year performance period based upon our cumulative achievement over that period of specific quantitative operating financial measures. The maximum amount of RSUs that may vest under the performance-based RSUs is approximately 157,000.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additional information on outstanding RSUs issued to our employees for the last three fiscal years: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2012</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 expense (in millions)</w:t>
            </w:r>
            <w:r>
              <w:rPr>
                <w:rFonts w:ascii="Arial" w:cs="Arial" w:eastAsia="Arial" w:hAnsi="Arial"/>
                <w:sz w:val="11"/>
                <w:szCs w:val="11"/>
                <w:color w:val="auto"/>
              </w:rPr>
              <w:t>(1)</w:t>
            </w:r>
          </w:p>
        </w:tc>
        <w:tc>
          <w:tcPr>
            <w:tcW w:w="1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Weighted average grant-date fair value prior to Spin-Off (per share)</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31</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grant-date fair value subsequent to Spin-Off (per share)</w:t>
            </w:r>
            <w:r>
              <w:rPr>
                <w:rFonts w:ascii="Arial" w:cs="Arial" w:eastAsia="Arial" w:hAnsi="Arial"/>
                <w:sz w:val="11"/>
                <w:szCs w:val="11"/>
                <w:color w:val="auto"/>
              </w:rPr>
              <w:t>(1)</w:t>
            </w:r>
          </w:p>
        </w:tc>
        <w:tc>
          <w:tcPr>
            <w:tcW w:w="16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Aggregate intrinsic value of converted and distributed (in millions)</w:t>
            </w:r>
          </w:p>
        </w:tc>
        <w:tc>
          <w:tcPr>
            <w:tcW w:w="16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72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RSUs with performance based vesting criteria.</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shows the 2012 changes in Marriott Vacations Worldwide RSUs issued to Marriott International and Marriott Vacations Worldwide employees: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Number</w:t>
            </w:r>
          </w:p>
        </w:tc>
        <w:tc>
          <w:tcPr>
            <w:tcW w:w="16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5"/>
              </w:rPr>
              <w:t>of</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year-end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1,144,510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 during 2012</w:t>
            </w:r>
            <w:r>
              <w:rPr>
                <w:rFonts w:ascii="Arial" w:cs="Arial" w:eastAsia="Arial" w:hAnsi="Arial"/>
                <w:sz w:val="11"/>
                <w:szCs w:val="11"/>
                <w:color w:val="auto"/>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387,701</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Distributed during 2012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(357,253)</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Forfeited during 2012</w:t>
            </w:r>
            <w:r>
              <w:rPr>
                <w:rFonts w:ascii="Arial" w:cs="Arial" w:eastAsia="Arial" w:hAnsi="Arial"/>
                <w:sz w:val="11"/>
                <w:szCs w:val="11"/>
                <w:color w:val="auto"/>
              </w:rPr>
              <w:t>(1)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(36,635)</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1,138,323</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RSUs with performance based vesting criteria.</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may grant employee non-qualified stock options to officers and key employees of our business at exercise prices or strike prices equal to the market price of our common stock on the date of grant. Non-qualified stock options generally expire ten years after the date of grant. Most stock options are exercisable in cumulative installments of one quarter at the end of each of the first four years following the date of grant.</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the 2012 changes in outstanding Marriott Vacations Worldwide stock options for Marriott International and Marriott Vacations Worldwide employees: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year-end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1,587,441</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 during 2012</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2012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(937,644)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Forfeited during 2012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(892)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648,905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Stock options awarded under the Marriott International Stock Plan were granted at exercise prices or strike prices equal to the market price of Marriott International common stock on the date of grant.</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recognized no stock option compensation expense for our employees in each of 2012, 2011 and 2010. There was no deferred compensation expense related to stock options held by our employees at both year-end 2012 and 2011.</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shows the Marriott Vacations Worldwide stock options issued to Marriott International and Marriott Vacations Worldwide employees that were outstanding and exercisable at year-end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87"/>
              </w:rPr>
              <w:t>Outstanding</w:t>
            </w:r>
          </w:p>
        </w:tc>
        <w:tc>
          <w:tcPr>
            <w:tcW w:w="62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center"/>
              <w:ind w:right="560"/>
              <w:spacing w:after="0"/>
              <w:rPr>
                <w:sz w:val="20"/>
                <w:szCs w:val="20"/>
                <w:color w:val="auto"/>
              </w:rPr>
            </w:pPr>
            <w:r>
              <w:rPr>
                <w:rFonts w:ascii="Arial" w:cs="Arial" w:eastAsia="Arial" w:hAnsi="Arial"/>
                <w:sz w:val="14"/>
                <w:szCs w:val="14"/>
                <w:b w:val="1"/>
                <w:bCs w:val="1"/>
                <w:color w:val="auto"/>
                <w:w w:val="87"/>
              </w:rPr>
              <w:t>Exercisable</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5"/>
              </w:rPr>
              <w:t>Weighted</w:t>
            </w:r>
          </w:p>
        </w:tc>
        <w:tc>
          <w:tcPr>
            <w:tcW w:w="17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Average</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2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5"/>
              </w:rPr>
              <w:t>Weighted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3"/>
              </w:rPr>
              <w:t>Range of</w:t>
            </w: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2"/>
                <w:szCs w:val="12"/>
                <w:color w:val="auto"/>
              </w:rPr>
            </w:pPr>
          </w:p>
        </w:tc>
        <w:tc>
          <w:tcPr>
            <w:tcW w:w="1720" w:type="dxa"/>
            <w:vAlign w:val="bottom"/>
            <w:gridSpan w:val="3"/>
          </w:tcPr>
          <w:p>
            <w:pPr>
              <w:jc w:val="center"/>
              <w:ind w:right="1140"/>
              <w:spacing w:after="0" w:line="149" w:lineRule="exact"/>
              <w:rPr>
                <w:sz w:val="20"/>
                <w:szCs w:val="20"/>
                <w:color w:val="auto"/>
              </w:rPr>
            </w:pPr>
            <w:r>
              <w:rPr>
                <w:rFonts w:ascii="Arial" w:cs="Arial" w:eastAsia="Arial" w:hAnsi="Arial"/>
                <w:sz w:val="14"/>
                <w:szCs w:val="14"/>
                <w:b w:val="1"/>
                <w:bCs w:val="1"/>
                <w:color w:val="auto"/>
                <w:w w:val="83"/>
              </w:rPr>
              <w:t>Average</w:t>
            </w:r>
          </w:p>
        </w:tc>
        <w:tc>
          <w:tcPr>
            <w:tcW w:w="1780" w:type="dxa"/>
            <w:vAlign w:val="bottom"/>
            <w:gridSpan w:val="2"/>
          </w:tcPr>
          <w:p>
            <w:pPr>
              <w:jc w:val="right"/>
              <w:ind w:right="1160"/>
              <w:spacing w:after="0" w:line="149" w:lineRule="exact"/>
              <w:rPr>
                <w:sz w:val="20"/>
                <w:szCs w:val="20"/>
                <w:color w:val="auto"/>
              </w:rPr>
            </w:pPr>
            <w:r>
              <w:rPr>
                <w:rFonts w:ascii="Arial" w:cs="Arial" w:eastAsia="Arial" w:hAnsi="Arial"/>
                <w:sz w:val="14"/>
                <w:szCs w:val="14"/>
                <w:b w:val="1"/>
                <w:bCs w:val="1"/>
                <w:color w:val="auto"/>
                <w:w w:val="83"/>
              </w:rPr>
              <w:t>Remaining</w:t>
            </w: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2"/>
                <w:szCs w:val="12"/>
                <w:color w:val="auto"/>
              </w:rPr>
            </w:pPr>
          </w:p>
        </w:tc>
        <w:tc>
          <w:tcPr>
            <w:tcW w:w="172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83"/>
              </w:rPr>
              <w:t>Average</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83"/>
              </w:rPr>
              <w:t>Exercise</w:t>
            </w:r>
          </w:p>
        </w:tc>
        <w:tc>
          <w:tcPr>
            <w:tcW w:w="11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Stock</w:t>
            </w:r>
          </w:p>
        </w:tc>
        <w:tc>
          <w:tcPr>
            <w:tcW w:w="600" w:type="dxa"/>
            <w:vAlign w:val="bottom"/>
          </w:tcPr>
          <w:p>
            <w:pPr>
              <w:spacing w:after="0"/>
              <w:rPr>
                <w:sz w:val="12"/>
                <w:szCs w:val="12"/>
                <w:color w:val="auto"/>
              </w:rPr>
            </w:pPr>
          </w:p>
        </w:tc>
        <w:tc>
          <w:tcPr>
            <w:tcW w:w="172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Exercise</w:t>
            </w:r>
          </w:p>
        </w:tc>
        <w:tc>
          <w:tcPr>
            <w:tcW w:w="17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8"/>
              </w:rPr>
              <w:t>Life</w:t>
            </w: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Stock</w:t>
            </w:r>
          </w:p>
        </w:tc>
        <w:tc>
          <w:tcPr>
            <w:tcW w:w="600" w:type="dxa"/>
            <w:vAlign w:val="bottom"/>
          </w:tcPr>
          <w:p>
            <w:pPr>
              <w:spacing w:after="0"/>
              <w:rPr>
                <w:sz w:val="12"/>
                <w:szCs w:val="12"/>
                <w:color w:val="auto"/>
              </w:rPr>
            </w:pPr>
          </w:p>
        </w:tc>
        <w:tc>
          <w:tcPr>
            <w:tcW w:w="172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80"/>
              </w:rPr>
              <w:t>Prices</w:t>
            </w: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Options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87"/>
              </w:rPr>
              <w:t>Price</w:t>
            </w:r>
          </w:p>
        </w:tc>
        <w:tc>
          <w:tcPr>
            <w:tcW w:w="178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6"/>
              </w:rPr>
              <w:t>(in years)</w:t>
            </w: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6"/>
              </w:rPr>
              <w:t>Options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87"/>
              </w:rPr>
              <w:t>Price</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to $12</w:t>
            </w:r>
          </w:p>
        </w:tc>
        <w:tc>
          <w:tcPr>
            <w:tcW w:w="1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418,831</w:t>
            </w:r>
          </w:p>
        </w:tc>
        <w:tc>
          <w:tcPr>
            <w:tcW w:w="5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418,831</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1140"/>
              <w:spacing w:after="0"/>
              <w:rPr>
                <w:sz w:val="20"/>
                <w:szCs w:val="20"/>
                <w:color w:val="auto"/>
              </w:rPr>
            </w:pPr>
            <w:r>
              <w:rPr>
                <w:rFonts w:ascii="Arial" w:cs="Arial" w:eastAsia="Arial" w:hAnsi="Arial"/>
                <w:sz w:val="18"/>
                <w:szCs w:val="18"/>
                <w:color w:val="auto"/>
                <w:w w:val="87"/>
              </w:rPr>
              <w:t>13 to $17</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141,262</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160"/>
              <w:spacing w:after="0"/>
              <w:rPr>
                <w:sz w:val="20"/>
                <w:szCs w:val="20"/>
                <w:color w:val="auto"/>
              </w:rPr>
            </w:pPr>
            <w:r>
              <w:rPr>
                <w:rFonts w:ascii="Arial" w:cs="Arial" w:eastAsia="Arial" w:hAnsi="Arial"/>
                <w:sz w:val="18"/>
                <w:szCs w:val="18"/>
                <w:color w:val="auto"/>
              </w:rPr>
              <w:t>14</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92"/>
              </w:rPr>
              <w:t>136,283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1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w w:val="87"/>
              </w:rPr>
              <w:t>18 to $22</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84,996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84,996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1140"/>
              <w:spacing w:after="0"/>
              <w:rPr>
                <w:sz w:val="20"/>
                <w:szCs w:val="20"/>
                <w:color w:val="auto"/>
              </w:rPr>
            </w:pPr>
            <w:r>
              <w:rPr>
                <w:rFonts w:ascii="Arial" w:cs="Arial" w:eastAsia="Arial" w:hAnsi="Arial"/>
                <w:sz w:val="18"/>
                <w:szCs w:val="18"/>
                <w:color w:val="auto"/>
                <w:w w:val="87"/>
              </w:rPr>
              <w:t>23 to $28</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3,816</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right"/>
              <w:ind w:right="1160"/>
              <w:spacing w:after="0"/>
              <w:rPr>
                <w:sz w:val="20"/>
                <w:szCs w:val="20"/>
                <w:color w:val="auto"/>
              </w:rPr>
            </w:pPr>
            <w:r>
              <w:rPr>
                <w:rFonts w:ascii="Arial" w:cs="Arial" w:eastAsia="Arial" w:hAnsi="Arial"/>
                <w:sz w:val="18"/>
                <w:szCs w:val="18"/>
                <w:color w:val="auto"/>
              </w:rPr>
              <w:t>26</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16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2,377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8 to $28</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648,905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642,487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No Marriott Vacations Worldwide stock options, other than those granted as part of the Spin-Off, were granted to Marriott International or to our employees in 2012, 2011 or 2010.</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shows the intrinsic value of outstanding Marriott International stock options and exercisable stock options held by our employees at year-end 2012 and 2011: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1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2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Exercisable stock options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intrinsic value of both the outstanding Marriott Vacations Worldwide stock options and the exercisable stock options held by our employees at year-end 2012 was less than $1 million.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approximate total intrinsic value of stock options for Marriott International stock exercised by our employees was $5 million in 2012, $2 million in 2011 and $10 million in 2010. The approximate total intrinsic value of stock options for Marriott Vacations Worldwide stock exercised by our employees was $1 million in 2012.</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SARs awarded under the Marriott International Stock Plan were granted at exercise prices or strike prices equal to the market price of Marriott International common stock on the date of grant. SARs awarded under the Marriott Vacations Worldwide Stock Plan are granted at exercise prices or strike prices equal to the market price of Marriott Vacations Worldwide common stock on the date of grant (this price is referred to as the “base value”). SARs generally expire ten years after the date of grant and both vest and may be exercised in cumulative installments of one quarter at the end of each of the first four years following the date of grant. Upon exercise of SARs, our employees receive the number of shares of Marriott International common stock or Marriott Vacations Worldwide common stock, as applicable, equal to the number of SARs being exercised, multiplied by the quotient of (a) the market price of the common stock on the date of exercise (this price is referred to as the “final value”) minus the base value, divided by (b) the final value.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recognized compensation expense associated with SARs held by our employees of $2 million in 2012, less than $1 million in 2011 and $1 million in 2010. At year-end 2012 and year-end 2011, we had $1 million and $3 million, respectively, in deferred compensation costs related to SARs held by our employees. Upon the exercise of SARs held by our employees, Marriott International or Marriott Vacations Worldwide will issue shares from treasury shares or authorized shares, as applicable.</w:t>
      </w:r>
    </w:p>
    <w:p>
      <w:pPr>
        <w:spacing w:after="0" w:line="14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shows the 2012 changes in outstanding Marriott Vacations Worldwide SARs issued to both Marriott International and Marriott Vacations Worldwide employees: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year-end 2011</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798,089</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Granted during 2012</w:t>
            </w:r>
          </w:p>
        </w:tc>
        <w:tc>
          <w:tcPr>
            <w:tcW w:w="620" w:type="dxa"/>
            <w:vAlign w:val="bottom"/>
          </w:tcPr>
          <w:p>
            <w:pPr>
              <w:jc w:val="right"/>
              <w:spacing w:after="0"/>
              <w:rPr>
                <w:sz w:val="20"/>
                <w:szCs w:val="20"/>
                <w:color w:val="auto"/>
              </w:rPr>
            </w:pPr>
            <w:r>
              <w:rPr>
                <w:rFonts w:ascii="Arial" w:cs="Arial" w:eastAsia="Arial" w:hAnsi="Arial"/>
                <w:sz w:val="18"/>
                <w:szCs w:val="18"/>
                <w:color w:val="auto"/>
              </w:rPr>
              <w:t>4,905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2012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(86,281)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Forfeited during 2012</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(6,544)</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2012</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710,169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the Black-Scholes model to estimate the fair value of the stock options or SARs granted. For stock options or SARs granted under the Marriott Vacations Worldwide Stock Plan subsequent to the Spin-Off, the expected stock price volatility was calculated based on the historical volatility from the stock prices of a group of identified peer companies. The average expected life was calculated based on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outlines the assumptions used to estimate the fair value of grants for the fiscal year ended 2012 and 2011: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54.3%</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47.4%</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tcPr>
          <w:p>
            <w:pPr>
              <w:ind w:left="60"/>
              <w:spacing w:after="0"/>
              <w:rPr>
                <w:sz w:val="20"/>
                <w:szCs w:val="20"/>
                <w:color w:val="auto"/>
              </w:rPr>
            </w:pPr>
            <w:r>
              <w:rPr>
                <w:rFonts w:ascii="Arial" w:cs="Arial" w:eastAsia="Arial" w:hAnsi="Arial"/>
                <w:sz w:val="18"/>
                <w:szCs w:val="18"/>
                <w:color w:val="auto"/>
              </w:rPr>
              <w:t>0.00%</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0.00%</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1.03%</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1.38%</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80" w:type="dxa"/>
            <w:vAlign w:val="bottom"/>
          </w:tcPr>
          <w:p>
            <w:pPr>
              <w:ind w:left="60"/>
              <w:spacing w:after="0"/>
              <w:rPr>
                <w:sz w:val="20"/>
                <w:szCs w:val="20"/>
                <w:color w:val="auto"/>
              </w:rPr>
            </w:pPr>
            <w:r>
              <w:rPr>
                <w:rFonts w:ascii="Arial" w:cs="Arial" w:eastAsia="Arial" w:hAnsi="Arial"/>
                <w:sz w:val="18"/>
                <w:szCs w:val="18"/>
                <w:color w:val="auto"/>
                <w:w w:val="85"/>
              </w:rPr>
              <w:t>6.25</w:t>
            </w:r>
          </w:p>
        </w:tc>
        <w:tc>
          <w:tcPr>
            <w:tcW w:w="580" w:type="dxa"/>
            <w:vAlign w:val="bottom"/>
          </w:tcPr>
          <w:p>
            <w:pPr>
              <w:spacing w:after="0"/>
              <w:rPr>
                <w:sz w:val="19"/>
                <w:szCs w:val="19"/>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6.25</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Marriott International used a binomial method to estimate the fair value of the stock options or SARs granted, under which Marriott International calculated the weighted average expected stock option or SAR as the product of a lattice-based binomial valuation model that uses suboptimal exercise factors. Marriott International used historical data to estimate exercise behaviors for separate groups of retirement eligible and non-retirement eligible employees of our business.</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shows the assumptions used to estimate the fair value of stock options and SARs our employees were awarded under the Marriott International Stock Plan for 2011 (prior to the Spin-Off) and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Dividend yield</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0.73%</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0.71%</w:t>
            </w: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r>
      <w:tr>
        <w:trPr>
          <w:trHeight w:val="222"/>
        </w:trPr>
        <w:tc>
          <w:tcPr>
            <w:tcW w:w="71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making these assumptions, Marriott International based risk-free interest rates on the corresponding U.S. Treasury spot rates for the expected duration at the date of grant, which Marriott International converted to a continuously compounded rate. Marriott International based the expected volatility on the weighted-average historical volatility of the Marriott International Common Stock, with periods with atypical stock movement given a lower weight to reflect stabilized long-term mean volatility.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differences in the assumptions used by Marriott International and by us to estimate fair value are a result of the Spin-Off and Marriott Vacations Worldwide operating as an independent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VARIABLE INTEREST ENTITIES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as its primary beneficiary.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loans to third parties. In a vacation ownership notes receivable securitization, various classes of debt securities that the special purpose entities issue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in our Balance Sheet at December 28, 2012.</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Vacation</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Ownership</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Notes</w:t>
            </w:r>
          </w:p>
        </w:tc>
        <w:tc>
          <w:tcPr>
            <w:tcW w:w="3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Warehouse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Receivable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Credit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61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Securitizations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Facility</w:t>
            </w:r>
          </w:p>
        </w:tc>
        <w:tc>
          <w:tcPr>
            <w:tcW w:w="3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Vacation ownership notes receivable, net of reserves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727</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727</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763</w:t>
            </w:r>
          </w:p>
        </w:tc>
        <w:tc>
          <w:tcPr>
            <w:tcW w:w="100" w:type="dxa"/>
            <w:vAlign w:val="bottom"/>
            <w:shd w:val="clear" w:color="auto" w:fill="CCEEFF"/>
          </w:tcPr>
          <w:p>
            <w:pPr>
              <w:spacing w:after="0"/>
              <w:rPr>
                <w:sz w:val="18"/>
                <w:szCs w:val="18"/>
                <w:color w:val="auto"/>
              </w:rPr>
            </w:pPr>
          </w:p>
        </w:tc>
      </w:tr>
      <w:tr>
        <w:trPr>
          <w:trHeight w:val="222"/>
        </w:trPr>
        <w:tc>
          <w:tcPr>
            <w:tcW w:w="6160" w:type="dxa"/>
            <w:vAlign w:val="bottom"/>
          </w:tcPr>
          <w:p>
            <w:pPr>
              <w:spacing w:after="0"/>
              <w:rPr>
                <w:sz w:val="20"/>
                <w:szCs w:val="20"/>
                <w:color w:val="auto"/>
              </w:rPr>
            </w:pPr>
            <w:r>
              <w:rPr>
                <w:rFonts w:ascii="Arial" w:cs="Arial" w:eastAsia="Arial" w:hAnsi="Arial"/>
                <w:sz w:val="18"/>
                <w:szCs w:val="18"/>
                <w:b w:val="1"/>
                <w:bCs w:val="1"/>
                <w:color w:val="auto"/>
              </w:rPr>
              <w:t>Consolidated Liabilities: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674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674</w:t>
            </w:r>
          </w:p>
        </w:tc>
        <w:tc>
          <w:tcPr>
            <w:tcW w:w="100" w:type="dxa"/>
            <w:vAlign w:val="bottom"/>
          </w:tcPr>
          <w:p>
            <w:pPr>
              <w:spacing w:after="0"/>
              <w:rPr>
                <w:sz w:val="18"/>
                <w:szCs w:val="18"/>
                <w:color w:val="auto"/>
              </w:rPr>
            </w:pPr>
          </w:p>
        </w:tc>
      </w:tr>
      <w:tr>
        <w:trPr>
          <w:trHeight w:val="27"/>
        </w:trPr>
        <w:tc>
          <w:tcPr>
            <w:tcW w:w="6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675</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675</w:t>
            </w:r>
          </w:p>
        </w:tc>
        <w:tc>
          <w:tcPr>
            <w:tcW w:w="100" w:type="dxa"/>
            <w:vAlign w:val="bottom"/>
            <w:shd w:val="clear" w:color="auto" w:fill="CCEEFF"/>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variable interest entities during 2012:</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4"/>
              <w:spacing w:after="0"/>
              <w:rPr>
                <w:sz w:val="20"/>
                <w:szCs w:val="20"/>
                <w:color w:val="auto"/>
              </w:rPr>
            </w:pPr>
            <w:r>
              <w:rPr>
                <w:rFonts w:ascii="Arial" w:cs="Arial" w:eastAsia="Arial" w:hAnsi="Arial"/>
                <w:sz w:val="14"/>
                <w:szCs w:val="14"/>
                <w:b w:val="1"/>
                <w:bCs w:val="1"/>
                <w:color w:val="auto"/>
                <w:w w:val="85"/>
              </w:rPr>
              <w:t>Vacation</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8"/>
              </w:rPr>
              <w:t>Ownership</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2"/>
              </w:rPr>
              <w:t>Notes</w:t>
            </w:r>
          </w:p>
        </w:tc>
        <w:tc>
          <w:tcPr>
            <w:tcW w:w="72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Warehouse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4"/>
              <w:spacing w:after="0" w:line="149" w:lineRule="exact"/>
              <w:rPr>
                <w:sz w:val="20"/>
                <w:szCs w:val="20"/>
                <w:color w:val="auto"/>
              </w:rPr>
            </w:pPr>
            <w:r>
              <w:rPr>
                <w:rFonts w:ascii="Arial" w:cs="Arial" w:eastAsia="Arial" w:hAnsi="Arial"/>
                <w:sz w:val="14"/>
                <w:szCs w:val="14"/>
                <w:b w:val="1"/>
                <w:bCs w:val="1"/>
                <w:color w:val="auto"/>
                <w:w w:val="84"/>
              </w:rPr>
              <w:t>Receivable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Credit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4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72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Securitizations</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Facility</w:t>
            </w:r>
          </w:p>
        </w:tc>
        <w:tc>
          <w:tcPr>
            <w:tcW w:w="360" w:type="dxa"/>
            <w:vAlign w:val="bottom"/>
          </w:tcPr>
          <w:p>
            <w:pPr>
              <w:spacing w:after="0"/>
              <w:rPr>
                <w:sz w:val="14"/>
                <w:szCs w:val="14"/>
                <w:color w:val="auto"/>
              </w:rPr>
            </w:pPr>
          </w:p>
        </w:tc>
        <w:tc>
          <w:tcPr>
            <w:tcW w:w="460" w:type="dxa"/>
            <w:vAlign w:val="bottom"/>
            <w:gridSpan w:val="3"/>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363"/>
        </w:trPr>
        <w:tc>
          <w:tcPr>
            <w:tcW w:w="3440" w:type="dxa"/>
            <w:vAlign w:val="bottom"/>
          </w:tcPr>
          <w:p>
            <w:pPr>
              <w:spacing w:after="0"/>
              <w:rPr>
                <w:sz w:val="24"/>
                <w:szCs w:val="24"/>
                <w:color w:val="auto"/>
              </w:rPr>
            </w:pPr>
          </w:p>
        </w:tc>
        <w:tc>
          <w:tcPr>
            <w:tcW w:w="2800" w:type="dxa"/>
            <w:vAlign w:val="bottom"/>
            <w:gridSpan w:val="2"/>
          </w:tcPr>
          <w:p>
            <w:pPr>
              <w:jc w:val="right"/>
              <w:ind w:right="1208"/>
              <w:spacing w:after="0"/>
              <w:rPr>
                <w:sz w:val="20"/>
                <w:szCs w:val="20"/>
                <w:color w:val="auto"/>
              </w:rPr>
            </w:pPr>
            <w:r>
              <w:rPr>
                <w:rFonts w:ascii="Arial" w:cs="Arial" w:eastAsia="Arial" w:hAnsi="Arial"/>
                <w:sz w:val="18"/>
                <w:szCs w:val="18"/>
                <w:color w:val="auto"/>
              </w:rPr>
              <w:t>F-38</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20" w:type="dxa"/>
            <w:vAlign w:val="bottom"/>
            <w:gridSpan w:val="2"/>
          </w:tcPr>
          <w:p>
            <w:pPr>
              <w:ind w:left="920"/>
              <w:spacing w:after="0"/>
              <w:rPr>
                <w:sz w:val="20"/>
                <w:szCs w:val="20"/>
                <w:color w:val="auto"/>
              </w:rPr>
            </w:pPr>
            <w:r>
              <w:rPr>
                <w:rFonts w:ascii="Arial" w:cs="Arial" w:eastAsia="Arial" w:hAnsi="Arial"/>
                <w:sz w:val="14"/>
                <w:szCs w:val="14"/>
                <w:b w:val="1"/>
                <w:bCs w:val="1"/>
                <w:i w:val="1"/>
                <w:iCs w:val="1"/>
                <w:color w:val="auto"/>
              </w:rPr>
              <w:t>($ in millions)</w:t>
            </w: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$ 233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receipts</w:t>
            </w:r>
          </w:p>
        </w:tc>
        <w:tc>
          <w:tcPr>
            <w:tcW w:w="2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20" w:type="dxa"/>
            <w:vAlign w:val="bottom"/>
            <w:gridSpan w:val="2"/>
          </w:tcPr>
          <w:p>
            <w:pPr>
              <w:ind w:left="920"/>
              <w:spacing w:after="0"/>
              <w:rPr>
                <w:sz w:val="20"/>
                <w:szCs w:val="20"/>
                <w:color w:val="auto"/>
              </w:rPr>
            </w:pPr>
            <w:r>
              <w:rPr>
                <w:rFonts w:ascii="Arial" w:cs="Arial" w:eastAsia="Arial" w:hAnsi="Arial"/>
                <w:sz w:val="18"/>
                <w:szCs w:val="18"/>
                <w:b w:val="1"/>
                <w:bCs w:val="1"/>
                <w:color w:val="auto"/>
              </w:rPr>
              <w:t>Cash outflows:</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800" w:type="dxa"/>
            <w:vAlign w:val="bottom"/>
            <w:gridSpan w:val="4"/>
          </w:tcPr>
          <w:p>
            <w:pPr>
              <w:jc w:val="right"/>
              <w:ind w:right="8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Voluntary retirement clean-up call</w:t>
            </w:r>
          </w:p>
        </w:tc>
        <w:tc>
          <w:tcPr>
            <w:tcW w:w="8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to investors</w:t>
            </w:r>
          </w:p>
        </w:tc>
        <w:tc>
          <w:tcPr>
            <w:tcW w:w="24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(327)</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1"/>
        </w:trPr>
        <w:tc>
          <w:tcPr>
            <w:tcW w:w="7820" w:type="dxa"/>
            <w:vAlign w:val="bottom"/>
            <w:gridSpan w:val="2"/>
          </w:tcPr>
          <w:p>
            <w:pPr>
              <w:ind w:left="920"/>
              <w:spacing w:after="0"/>
              <w:rPr>
                <w:sz w:val="20"/>
                <w:szCs w:val="20"/>
                <w:color w:val="auto"/>
              </w:rPr>
            </w:pPr>
            <w:r>
              <w:rPr>
                <w:rFonts w:ascii="Arial" w:cs="Arial" w:eastAsia="Arial" w:hAnsi="Arial"/>
                <w:sz w:val="18"/>
                <w:szCs w:val="18"/>
                <w:b w:val="1"/>
                <w:bCs w:val="1"/>
                <w:color w:val="auto"/>
              </w:rPr>
              <w:t>Net Cash Flows</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$ 201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8"/>
                <w:szCs w:val="18"/>
                <w:color w:val="auto"/>
                <w:w w:val="91"/>
              </w:rPr>
              <w:t>The following table shows cash flows between us and the Warehouse Credit Facility variable interest entity:</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8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820" w:type="dxa"/>
            <w:vAlign w:val="bottom"/>
            <w:gridSpan w:val="2"/>
          </w:tcPr>
          <w:p>
            <w:pPr>
              <w:ind w:left="920"/>
              <w:spacing w:after="0"/>
              <w:rPr>
                <w:sz w:val="20"/>
                <w:szCs w:val="20"/>
                <w:color w:val="auto"/>
              </w:rPr>
            </w:pPr>
            <w:r>
              <w:rPr>
                <w:rFonts w:ascii="Arial" w:cs="Arial" w:eastAsia="Arial" w:hAnsi="Arial"/>
                <w:sz w:val="14"/>
                <w:szCs w:val="14"/>
                <w:b w:val="1"/>
                <w:bCs w:val="1"/>
                <w:i w:val="1"/>
                <w:iCs w:val="1"/>
                <w:color w:val="auto"/>
              </w:rPr>
              <w:t>($ in millions)</w:t>
            </w:r>
          </w:p>
        </w:tc>
        <w:tc>
          <w:tcPr>
            <w:tcW w:w="8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24"/>
                <w:szCs w:val="2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proceeds from vacation ownership notes receivable securitization</w:t>
            </w:r>
          </w:p>
        </w:tc>
        <w:tc>
          <w:tcPr>
            <w:tcW w:w="240" w:type="dxa"/>
            <w:vAlign w:val="bottom"/>
          </w:tcPr>
          <w:p>
            <w:pPr>
              <w:spacing w:after="0"/>
              <w:rPr>
                <w:sz w:val="18"/>
                <w:szCs w:val="18"/>
                <w:color w:val="auto"/>
              </w:rPr>
            </w:pPr>
          </w:p>
        </w:tc>
        <w:tc>
          <w:tcPr>
            <w:tcW w:w="800" w:type="dxa"/>
            <w:vAlign w:val="bottom"/>
            <w:gridSpan w:val="4"/>
          </w:tcPr>
          <w:p>
            <w:pPr>
              <w:jc w:val="right"/>
              <w:ind w:right="340"/>
              <w:spacing w:after="0"/>
              <w:rPr>
                <w:sz w:val="20"/>
                <w:szCs w:val="20"/>
                <w:color w:val="auto"/>
              </w:rPr>
            </w:pPr>
            <w:r>
              <w:rPr>
                <w:rFonts w:ascii="Arial" w:cs="Arial" w:eastAsia="Arial" w:hAnsi="Arial"/>
                <w:sz w:val="18"/>
                <w:szCs w:val="18"/>
                <w:color w:val="auto"/>
              </w:rPr>
              <w:t>$ —</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receipts</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Reserve Release</w:t>
            </w:r>
          </w:p>
        </w:tc>
        <w:tc>
          <w:tcPr>
            <w:tcW w:w="380" w:type="dxa"/>
            <w:vAlign w:val="bottom"/>
            <w:gridSpan w:val="2"/>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gridSpan w:val="2"/>
          </w:tcPr>
          <w:p>
            <w:pPr>
              <w:ind w:left="920"/>
              <w:spacing w:after="0"/>
              <w:rPr>
                <w:sz w:val="20"/>
                <w:szCs w:val="20"/>
                <w:color w:val="auto"/>
              </w:rPr>
            </w:pPr>
            <w:r>
              <w:rPr>
                <w:rFonts w:ascii="Arial" w:cs="Arial" w:eastAsia="Arial" w:hAnsi="Arial"/>
                <w:sz w:val="18"/>
                <w:szCs w:val="18"/>
                <w:color w:val="auto"/>
              </w:rPr>
              <w:t>Total</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outflows: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Principal to investors</w:t>
            </w: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(15)</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10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Repayment of Warehouse Credit Facility</w:t>
            </w:r>
          </w:p>
        </w:tc>
        <w:tc>
          <w:tcPr>
            <w:tcW w:w="1040" w:type="dxa"/>
            <w:vAlign w:val="bottom"/>
            <w:gridSpan w:val="5"/>
          </w:tcPr>
          <w:p>
            <w:pPr>
              <w:jc w:val="right"/>
              <w:ind w:right="20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380" w:type="dxa"/>
            <w:vAlign w:val="bottom"/>
            <w:gridSpan w:val="2"/>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ind w:left="9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20" w:type="dxa"/>
            <w:vAlign w:val="bottom"/>
            <w:gridSpan w:val="2"/>
            <w:vMerge w:val="continue"/>
          </w:tcPr>
          <w:p>
            <w:pPr>
              <w:spacing w:after="0"/>
              <w:rPr>
                <w:sz w:val="19"/>
                <w:szCs w:val="19"/>
                <w:color w:val="auto"/>
              </w:rPr>
            </w:pPr>
          </w:p>
        </w:tc>
        <w:tc>
          <w:tcPr>
            <w:tcW w:w="380" w:type="dxa"/>
            <w:vAlign w:val="bottom"/>
            <w:gridSpan w:val="2"/>
          </w:tcPr>
          <w:p>
            <w:pPr>
              <w:spacing w:after="0"/>
              <w:rPr>
                <w:sz w:val="19"/>
                <w:szCs w:val="19"/>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color w:val="auto"/>
              </w:rPr>
              <w:t>(120)</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8"/>
        </w:trPr>
        <w:tc>
          <w:tcPr>
            <w:tcW w:w="920" w:type="dxa"/>
            <w:vAlign w:val="bottom"/>
            <w:vMerge w:val="restart"/>
          </w:tcPr>
          <w:p>
            <w:pPr>
              <w:spacing w:after="0"/>
              <w:rPr>
                <w:sz w:val="2"/>
                <w:szCs w:val="2"/>
                <w:color w:val="auto"/>
              </w:rPr>
            </w:pPr>
          </w:p>
        </w:tc>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104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 (94)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Under the terms of our vacation ownership notes receivable securitizations, we have the right at our option to repurchase defaulted mortgage notes at the outstanding principal balance. The transaction documents typically limit such repurchases to 15 to 20 percent of the transaction’s initial mortgage balance. We made voluntary repurchases of defaulted vacation ownership notes receivable of $39 million during 2012, $52 million during 2011 and $68 million during 2010. We also made voluntary repurchases of $86 million, $24 million and $25 million of other non-defaulted vacation ownership notes receivable during 2012, 2011 and 2010, respectively, to retire previous vacation ownership notes receivable securitizations. Our maximum exposure to loss relating to the entities that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an equity investment in and notes receivable due from a variable interest entity that develops and markets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of this entity, as power to direct the activities that most significantly impact the entity’s economic performance is shared among the variable interest holders and, therefore, we do not consolidate the entity. We provided a completion guarantee in favor of the project lenders for which the joint venture has delivered a completed operational project. Although we have not received a release of the guarantee from the lenders, we do not believe we have any exposure for funding. In 2009, we fully impaired our equity investment in the entity and in certain notes receivable due from the entity. In 2010, the continued application of equity losses to our investment in the remaining outstanding notes receivable balance reduced its carrying value to zero. In addition, the venture was unable to pay promissory notes that matured 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December 31, 2010 and August 1, 2011. Subsequently, the lenders issued a notice of default to the venture. The lenders initiated foreclosure proceedings with respect to unsold interests in the project. A foreclosure auction was held and, on January 31, 2013, a bid was accepted and confirmed. If the sale is completed, we may receive some payment on our notes receivable due from the entity. We gave notice of breach or termination of various agreements, including management agreements with the owners’ associations at the project, marketing and sales agreements with the venture, and other agreements pursuant to which we provided services to the venture and, as we were unable to reach agreement with the owners’ associations with respect to our continued provision of services, termination of these agreements was effective on December 31, 2012, subsequent to year-end 2012. During the year ended December 28, 2012, we reversed $2 million of our previously recorded impairment of this equity investment because the actual costs incurred to suspend the marketing and sales operations were lower than previously estimated. At December 28, 2012 we have a remaining accrual of $10 million for potential future funding included in other liabilities on our Balance Sheet, representing our remaining expected exposure to loss related to our involvement with this entity. See Footnote No. 9, “Contingencies and Commitments,” for a discussion of certain litigation related to this project.</w:t>
      </w:r>
    </w:p>
    <w:p>
      <w:pPr>
        <w:spacing w:after="0" w:line="12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2010, we completed the acquisition of the noncontrolling interest in an entity that develops and markets vacation ownership and residential products. We had previously concluded that the entity was a variable interest entity because the voting rights of the entity’s owners were not proportionate to the economic interests of the entity’s owners and we had consolidated the entity because we were the primary beneficiary. Following our acquisition of the noncontrolling interest, we determined that this now wholly owned entity was no longer a variable interest entity.</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2010, we caused the sale of substantially all of the assets and liabilities of an entity whose equity was subject to a call option that we held, resulting in an $18 million gain (plus $3 million recorded in wholly owned entities) and net cash flow of $38 million (of a total $42 million in various entities). We had previously concluded that the entity, which holds property and land acquired for vacation ownership development that we operated as a hotel, was a variable interest entity because the equity investment at risk was not sufficient to permit it to finance its activities without additional support from other parties. We concluded we were the primary beneficiary because we had ultimate power to direct the activities that most significantly impacted the entity’s economic performance. Our involvement with the entity did not have a material effect on our financial performance or cash flows before 2010. Subsequent to the sale we no longer hold a call option on the equity and thus have no variable interest in this entity.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IMPAIRMENT CHARGES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accordance with ASC 978, “</w:t>
      </w:r>
      <w:r>
        <w:rPr>
          <w:rFonts w:ascii="Arial" w:cs="Arial" w:eastAsia="Arial" w:hAnsi="Arial"/>
          <w:sz w:val="18"/>
          <w:szCs w:val="18"/>
          <w:i w:val="1"/>
          <w:iCs w:val="1"/>
          <w:color w:val="auto"/>
        </w:rPr>
        <w:t>Real Estate—Time-sharing Activities</w:t>
      </w:r>
      <w:r>
        <w:rPr>
          <w:rFonts w:ascii="Arial" w:cs="Arial" w:eastAsia="Arial" w:hAnsi="Arial"/>
          <w:sz w:val="18"/>
          <w:szCs w:val="18"/>
          <w:color w:val="auto"/>
        </w:rPr>
        <w:t>,” and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we have recorded impairment adjustments to inventory, property and equipment and one joint venture investment and related party notes receivable to adjust the carrying value of underlying assets to our estimate of its fair value when required.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98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20" w:type="dxa"/>
            <w:vAlign w:val="bottom"/>
          </w:tcPr>
          <w:p>
            <w:pPr>
              <w:ind w:left="440"/>
              <w:spacing w:after="0"/>
              <w:rPr>
                <w:sz w:val="20"/>
                <w:szCs w:val="20"/>
                <w:color w:val="auto"/>
              </w:rPr>
            </w:pPr>
            <w:r>
              <w:rPr>
                <w:rFonts w:ascii="Arial" w:cs="Arial" w:eastAsia="Arial" w:hAnsi="Arial"/>
                <w:sz w:val="18"/>
                <w:szCs w:val="18"/>
                <w:color w:val="auto"/>
              </w:rPr>
              <w:t>Inventory impairment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impairment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520" w:type="dxa"/>
            <w:vAlign w:val="bottom"/>
          </w:tcPr>
          <w:p>
            <w:pPr>
              <w:ind w:left="860"/>
              <w:spacing w:after="0"/>
              <w:rPr>
                <w:sz w:val="20"/>
                <w:szCs w:val="20"/>
                <w:color w:val="auto"/>
              </w:rPr>
            </w:pPr>
            <w:r>
              <w:rPr>
                <w:rFonts w:ascii="Arial" w:cs="Arial" w:eastAsia="Arial" w:hAnsi="Arial"/>
                <w:sz w:val="18"/>
                <w:szCs w:val="18"/>
                <w:color w:val="auto"/>
              </w:rPr>
              <w:t>Total impairment charge</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2010 Impairment Charges</w:t>
            </w: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9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ind w:left="460"/>
              <w:spacing w:after="0"/>
              <w:rPr>
                <w:sz w:val="20"/>
                <w:szCs w:val="20"/>
                <w:color w:val="auto"/>
              </w:rPr>
            </w:pPr>
            <w:r>
              <w:rPr>
                <w:rFonts w:ascii="Arial" w:cs="Arial" w:eastAsia="Arial" w:hAnsi="Arial"/>
                <w:sz w:val="18"/>
                <w:szCs w:val="18"/>
                <w:color w:val="auto"/>
              </w:rPr>
              <w:t>We incurred total impairment charges during 2010 as follows:</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Asia</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8"/>
              </w:rPr>
              <w:t>Luxury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2"/>
              </w:rPr>
              <w:t>Pacific</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6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1"/>
              </w:rPr>
              <w:t>Segment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Inventory impairment (reversals)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impairment</w:t>
            </w: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6980" w:type="dxa"/>
            <w:vAlign w:val="bottom"/>
            <w:gridSpan w:val="2"/>
          </w:tcPr>
          <w:p>
            <w:pPr>
              <w:ind w:left="440"/>
              <w:spacing w:after="0"/>
              <w:rPr>
                <w:sz w:val="20"/>
                <w:szCs w:val="20"/>
                <w:color w:val="auto"/>
              </w:rPr>
            </w:pPr>
            <w:r>
              <w:rPr>
                <w:rFonts w:ascii="Arial" w:cs="Arial" w:eastAsia="Arial" w:hAnsi="Arial"/>
                <w:sz w:val="18"/>
                <w:szCs w:val="18"/>
                <w:color w:val="auto"/>
              </w:rPr>
              <w:t>Total impairment charge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8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780" w:type="dxa"/>
            <w:vAlign w:val="bottom"/>
            <w:gridSpan w:val="5"/>
          </w:tcPr>
          <w:p>
            <w:pPr>
              <w:jc w:val="right"/>
              <w:spacing w:after="0"/>
              <w:rPr>
                <w:sz w:val="20"/>
                <w:szCs w:val="20"/>
                <w:color w:val="auto"/>
              </w:rPr>
            </w:pPr>
            <w:r>
              <w:rPr>
                <w:rFonts w:ascii="Arial" w:cs="Arial" w:eastAsia="Arial" w:hAnsi="Arial"/>
                <w:sz w:val="18"/>
                <w:szCs w:val="18"/>
                <w:color w:val="auto"/>
              </w:rPr>
              <w:t>$ 15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estimated the fair value of the underlying assets using cash flow models that reflected our expectations of future performance discounted at varying rates to capture the inherent risk in each model.</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2010, we decided to pursue the disposition of a golf course and related assets. In accordance with the guidance for the impairment of long-lived assets, we evaluated the property and related assets for recovery and in 2010 we recorded an impairment charge of $14 million to adjust the carrying value of the assets to our estimate of fair value. We estimated fair value using an income approach reflecting internally developed Level 3 discounted cash flows based on negotiations with a qualified prospective third-party purchaser of the asset. Further, we recorded $6 million of additional inventory impairment charges in our Luxury segment due to continued sluggish sales pace.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Also, in 2010, we negotiated an amendment to a purchase commitment for vacation ownership units to be delivered to our Asia Pacific segment in 2011, resulting in a reversal of $5 million of a previously recorded impairment charge for anticipated funding in connection with the purchase commitment.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Impairment Charges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incurred total impairment charges during 2011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Luxury</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Europe</w:t>
            </w:r>
          </w:p>
        </w:tc>
        <w:tc>
          <w:tcPr>
            <w:tcW w:w="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8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1"/>
              </w:rPr>
              <w:t>Segment</w:t>
            </w:r>
          </w:p>
        </w:tc>
        <w:tc>
          <w:tcPr>
            <w:tcW w:w="5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4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Inventory impairment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111</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138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impairment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ind w:left="880"/>
              <w:spacing w:after="0"/>
              <w:rPr>
                <w:sz w:val="20"/>
                <w:szCs w:val="20"/>
                <w:color w:val="auto"/>
              </w:rPr>
            </w:pPr>
            <w:r>
              <w:rPr>
                <w:rFonts w:ascii="Arial" w:cs="Arial" w:eastAsia="Arial" w:hAnsi="Arial"/>
                <w:sz w:val="18"/>
                <w:szCs w:val="18"/>
                <w:color w:val="auto"/>
              </w:rPr>
              <w:t>Total impairment charge</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2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117</w:t>
            </w:r>
          </w:p>
        </w:tc>
        <w:tc>
          <w:tcPr>
            <w:tcW w:w="5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205</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preparation for the Spin-Off, management assessed the intended use of excess undeveloped land and built inventory and the current market conditions for those assets. During 2011, management approved a plan to accelerate cash flow through the monetization of certain excess undeveloped land in the United States, Mexico, and the Bahamas and to accelerate sales of excess built Luxury fractional and residential inventory. As a result, in accordance with the guidance for accounting for the impairment or disposal of long-lived assets, because the nominal cash flows from the planned land sales and the estimated fair values of the land and excess built Luxury inventory were less than their respective carrying values, we recorded a pre-tax non-cash impairment charge of $324 million ($234 million after-tax) under the “Impairment” caption.</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estimated the fair value of the land by using recent comparable sales data for the land parcels, which we determined were Level 3 inputs. We estimated the fair value of the excess built Luxury fractional and residential inventory using cash flow projections discounted at risk premiums commensurate with the market conditions of the related projects. We used Level 3 inputs for these discounted cash flow analyses and our assumptions included: growth rate and sales pace projections, additional sales incentives such as pricing discounts, and marketing and sales cost estimates.</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Grouped by product type and/or geographic location, these impairment charges consisted of $117 million associated with nine Luxury fractional and mixed use properties, $2 million related to one project in our European vacation ownership business, and $205 million associated with Corporate and Other, including $199 million related to undeveloped land parcels associated with five vacation ownership properties and $6 million of software previously under development that will not be completed and used under our new strategy.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we reclassified $52 million of these land parcels previously in our development plans from inventory to property and equipment.</w:t>
      </w:r>
    </w:p>
    <w:p>
      <w:pPr>
        <w:spacing w:after="0" w:line="19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also reviewed the remainder of our inventory assets and determined that there were no other adjustments needed to our vacation ownership inventory, which is recorded at the lower of cost or fair value less cost to sell.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upon the completion of the Spin-Off, Marriott Vacations Worldwide ceased to be a related party of Marriott International.</w:t>
      </w:r>
    </w:p>
    <w:p>
      <w:pPr>
        <w:spacing w:after="0" w:line="171"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Through November 21, 2011 (the effective date of the Spin-Off), our expenses included allocations from Marriott International of costs associated with services provided by Marriott International to us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These allocated costs were $23 million and $30 million for the period from January 1, 2011 through date of the Spin-Off and 2010, respectively.</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Marriott International allocated indirect general and administrative costs to us for certain functions and services provided to us by Marriott International, including, but not limited to, executive office, legal, tax, finance, government and public relations, internal audit, treasury, investor relations, human resources and other administrative support primarily on the basis of our proportion of Marriott International’s overall revenue. Accordingly, we were allocated $12 million for the period from January 1, 2011 through date of the Spin-Off and $15 million in 2010 of Marriott International’s indirect general and corporate overhead expenses and have included these expenses in General and administrative expenses on our Statements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Marriott International ceased allocating expenses to us after the Spin-Off on November 21, 2011. We determined that our relative revenue was a reasonable reflection of Marriott International time dedicated to the oversight of our historical business. The allocations may not, however, reflect the expense we would have incurred as an independent, publicly traded company for the periods presented.</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All significant intercompany transactions between us and Marriott International were included in our historical financial statements and are considered to be effectively settled as of the time of the Spin-Off. The total net effect of the settlement of these intercompany transactions is reflected in the Statements of Cash Flows as a financing activity.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ORGANIZATIONAL AND SEPARATION RELATED CHARGES</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Since the Spin-Off, Marriott International has continued to provide us with certain information technology, payroll, human resources and other administrative services pursuant to transition services agreements. In connection with our continued organizational and separation related activities, we have incurred expenses to complete our separation from Marriott International. These costs primarily relate to establishing our own information technology systems and services, independent payroll functions and reorganizing certain existing administrative organizations to support our stand-alone public company needs. We expect these efforts to continue through 2014. Organizational and separation related charges were $16 million for 2012, as reflected in our Statements of Operations. In addition, during 2012, $2 million was capitalized to Property and equipment on our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BUSINESS SEGMENTS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four reportable business segments:</w:t>
      </w:r>
    </w:p>
    <w:p>
      <w:pPr>
        <w:spacing w:after="0" w:line="90" w:lineRule="exact"/>
        <w:rPr>
          <w:sz w:val="20"/>
          <w:szCs w:val="20"/>
          <w:color w:val="auto"/>
        </w:rPr>
      </w:pPr>
    </w:p>
    <w:p>
      <w:pPr>
        <w:jc w:val="both"/>
        <w:ind w:left="1480" w:right="280" w:hanging="446"/>
        <w:spacing w:after="0" w:line="306" w:lineRule="auto"/>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products under the Marriott Vacation Club and Grand Residences by Marriott brands in the United States and the Caribbean. We also develop, market, sell and manage resort residential real estate located within our vacation ownership developments under the Grand Residences by Marriott brand.</w:t>
      </w:r>
    </w:p>
    <w:p>
      <w:pPr>
        <w:spacing w:after="0" w:line="25" w:lineRule="exact"/>
        <w:rPr>
          <w:rFonts w:ascii="Arial" w:cs="Arial" w:eastAsia="Arial" w:hAnsi="Arial"/>
          <w:sz w:val="16"/>
          <w:szCs w:val="16"/>
          <w:color w:val="auto"/>
        </w:rPr>
      </w:pPr>
    </w:p>
    <w:p>
      <w:pPr>
        <w:ind w:left="1480" w:right="200" w:hanging="446"/>
        <w:spacing w:after="0" w:line="332" w:lineRule="auto"/>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our Luxury segment, we develop, market, sell and manage luxury vacation ownership products under the Ritz-Carlton Destination Club brand. We also sell whole ownership luxury residential real estate under the Ritz-Carlton Residences brand.</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 our Europe segment, we are focusing on selling our existing projects and managing existing resorts in several locations in Europe.</w:t>
      </w:r>
    </w:p>
    <w:p>
      <w:pPr>
        <w:spacing w:after="0" w:line="113" w:lineRule="exact"/>
        <w:rPr>
          <w:rFonts w:ascii="Arial" w:cs="Arial" w:eastAsia="Arial" w:hAnsi="Arial"/>
          <w:sz w:val="16"/>
          <w:szCs w:val="16"/>
          <w:color w:val="auto"/>
        </w:rPr>
      </w:pPr>
    </w:p>
    <w:p>
      <w:pPr>
        <w:ind w:left="1480" w:right="40" w:hanging="446"/>
        <w:spacing w:after="0" w:line="259"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Marriott Vacation Club, Asia Pacific, a right-to-use points program we introduced in 2006 that we specifically designed to appeal to vacation preferences of the Asian market, as well as a weeks-based right-to-use product.</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evaluate the performance of our segments based primarily on the results of the segment without allocating corporate expenses, income taxes or indirect general and administrative expenses. We do not allocate corporate interest expense or other financing expenses to our segments. We include interest income specific to segment activities within the appropriate segment. We allocate other gains and losses, equity in earnings or losses from our joint ventures, and certain general and administrative expenses. Corporate and other represents that portion of our revenues, general, administrative and other expenses, equity in earnings or losses, and other gains or losses that are not allocable to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24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7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4"/>
                <w:szCs w:val="14"/>
                <w:color w:val="auto"/>
              </w:rPr>
            </w:pPr>
          </w:p>
        </w:tc>
        <w:tc>
          <w:tcPr>
            <w:tcW w:w="500" w:type="dxa"/>
            <w:vAlign w:val="bottom"/>
          </w:tcPr>
          <w:p>
            <w:pPr>
              <w:jc w:val="right"/>
              <w:ind w:right="1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37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$1,272</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Luxury</w:t>
            </w:r>
          </w:p>
        </w:tc>
        <w:tc>
          <w:tcPr>
            <w:tcW w:w="4460" w:type="dxa"/>
            <w:vAlign w:val="bottom"/>
            <w:gridSpan w:val="3"/>
          </w:tcPr>
          <w:p>
            <w:pPr>
              <w:jc w:val="right"/>
              <w:ind w:right="220"/>
              <w:spacing w:after="0"/>
              <w:rPr>
                <w:sz w:val="20"/>
                <w:szCs w:val="20"/>
                <w:color w:val="auto"/>
              </w:rPr>
            </w:pPr>
            <w:r>
              <w:rPr>
                <w:rFonts w:ascii="Arial" w:cs="Arial" w:eastAsia="Arial" w:hAnsi="Arial"/>
                <w:sz w:val="18"/>
                <w:szCs w:val="18"/>
                <w:color w:val="auto"/>
              </w:rPr>
              <w:t>81</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114</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Asia Pacific</w:t>
            </w:r>
          </w:p>
        </w:tc>
        <w:tc>
          <w:tcPr>
            <w:tcW w:w="37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r>
      <w:tr>
        <w:trPr>
          <w:trHeight w:val="216"/>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revenues</w:t>
            </w: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Corporate and other</w:t>
            </w:r>
          </w:p>
        </w:tc>
        <w:tc>
          <w:tcPr>
            <w:tcW w:w="3740" w:type="dxa"/>
            <w:vAlign w:val="bottom"/>
          </w:tcPr>
          <w:p>
            <w:pPr>
              <w:spacing w:after="0"/>
              <w:rPr>
                <w:sz w:val="19"/>
                <w:szCs w:val="19"/>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336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1,648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1,613</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1,584</w:t>
            </w:r>
          </w:p>
        </w:tc>
        <w:tc>
          <w:tcPr>
            <w:tcW w:w="100" w:type="dxa"/>
            <w:vAlign w:val="bottom"/>
            <w:shd w:val="clear" w:color="auto" w:fill="CCEEFF"/>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3360" w:type="dxa"/>
            <w:vAlign w:val="bottom"/>
          </w:tcPr>
          <w:p>
            <w:pPr>
              <w:spacing w:after="0"/>
              <w:rPr>
                <w:sz w:val="24"/>
                <w:szCs w:val="24"/>
                <w:color w:val="auto"/>
              </w:rPr>
            </w:pPr>
          </w:p>
        </w:tc>
        <w:tc>
          <w:tcPr>
            <w:tcW w:w="4460" w:type="dxa"/>
            <w:vAlign w:val="bottom"/>
            <w:gridSpan w:val="3"/>
          </w:tcPr>
          <w:p>
            <w:pPr>
              <w:ind w:left="1260"/>
              <w:spacing w:after="0"/>
              <w:rPr>
                <w:sz w:val="20"/>
                <w:szCs w:val="20"/>
                <w:color w:val="auto"/>
              </w:rPr>
            </w:pPr>
            <w:r>
              <w:rPr>
                <w:rFonts w:ascii="Arial" w:cs="Arial" w:eastAsia="Arial" w:hAnsi="Arial"/>
                <w:sz w:val="18"/>
                <w:szCs w:val="18"/>
                <w:color w:val="auto"/>
              </w:rPr>
              <w:t>F-42</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840" w:type="dxa"/>
            <w:vAlign w:val="bottom"/>
            <w:gridSpan w:val="3"/>
          </w:tcPr>
          <w:p>
            <w:pPr>
              <w:ind w:left="48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$ 309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$ 263</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Luxury</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(130)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Asia Pacific</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financial results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277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Corporate and other</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(362)</w:t>
            </w:r>
          </w:p>
        </w:tc>
        <w:tc>
          <w:tcPr>
            <w:tcW w:w="940" w:type="dxa"/>
            <w:vAlign w:val="bottom"/>
            <w:gridSpan w:val="4"/>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9"/>
              </w:rPr>
              <w:t>$  16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Equity in Earnings (Losses) of Equity Method Investees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6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gridSpan w:val="2"/>
          </w:tcPr>
          <w:p>
            <w:pPr>
              <w:spacing w:after="0"/>
              <w:rPr>
                <w:sz w:val="24"/>
                <w:szCs w:val="24"/>
                <w:color w:val="auto"/>
              </w:rPr>
            </w:pPr>
          </w:p>
        </w:tc>
        <w:tc>
          <w:tcPr>
            <w:tcW w:w="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96"/>
              </w:rPr>
              <w:t>2011</w:t>
            </w:r>
          </w:p>
        </w:tc>
        <w:tc>
          <w:tcPr>
            <w:tcW w:w="4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Luxury</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Asia Pacific</w:t>
            </w:r>
          </w:p>
        </w:tc>
        <w:tc>
          <w:tcPr>
            <w:tcW w:w="320" w:type="dxa"/>
            <w:vAlign w:val="bottom"/>
          </w:tcPr>
          <w:p>
            <w:pPr>
              <w:spacing w:after="0"/>
              <w:rPr>
                <w:sz w:val="18"/>
                <w:szCs w:val="18"/>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2010</w:t>
            </w:r>
          </w:p>
        </w:tc>
        <w:tc>
          <w:tcPr>
            <w:tcW w:w="100" w:type="dxa"/>
            <w:vAlign w:val="bottom"/>
          </w:tcPr>
          <w:p>
            <w:pPr>
              <w:spacing w:after="0"/>
              <w:rPr>
                <w:sz w:val="14"/>
                <w:szCs w:val="14"/>
                <w:color w:val="auto"/>
              </w:rPr>
            </w:pPr>
          </w:p>
        </w:tc>
      </w:tr>
      <w:tr>
        <w:trPr>
          <w:trHeight w:val="210"/>
        </w:trPr>
        <w:tc>
          <w:tcPr>
            <w:tcW w:w="5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Luxury</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3</w:t>
            </w: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Asia Pacific</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16"/>
        </w:trPr>
        <w:tc>
          <w:tcPr>
            <w:tcW w:w="50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depreciation</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Corporate and other</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960" w:type="dxa"/>
            <w:vAlign w:val="bottom"/>
            <w:gridSpan w:val="3"/>
          </w:tcPr>
          <w:p>
            <w:pPr>
              <w:jc w:val="right"/>
              <w:ind w:right="460"/>
              <w:spacing w:after="0"/>
              <w:rPr>
                <w:sz w:val="20"/>
                <w:szCs w:val="20"/>
                <w:color w:val="auto"/>
              </w:rPr>
            </w:pPr>
            <w:r>
              <w:rPr>
                <w:rFonts w:ascii="Arial" w:cs="Arial" w:eastAsia="Arial" w:hAnsi="Arial"/>
                <w:sz w:val="18"/>
                <w:szCs w:val="18"/>
                <w:color w:val="auto"/>
              </w:rPr>
              <w:t>16</w:t>
            </w: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7"/>
        </w:trPr>
        <w:tc>
          <w:tcPr>
            <w:tcW w:w="50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0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9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35</w:t>
            </w:r>
          </w:p>
        </w:tc>
        <w:tc>
          <w:tcPr>
            <w:tcW w:w="100" w:type="dxa"/>
            <w:vAlign w:val="bottom"/>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b w:val="1"/>
                <w:bCs w:val="1"/>
                <w:color w:val="auto"/>
                <w:w w:val="92"/>
              </w:rPr>
              <w:t>At Year-End</w:t>
            </w:r>
          </w:p>
        </w:tc>
        <w:tc>
          <w:tcPr>
            <w:tcW w:w="72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At Year-End</w:t>
            </w:r>
          </w:p>
        </w:tc>
        <w:tc>
          <w:tcPr>
            <w:tcW w:w="0" w:type="dxa"/>
            <w:vAlign w:val="bottom"/>
          </w:tcPr>
          <w:p>
            <w:pPr>
              <w:spacing w:after="0"/>
              <w:rPr>
                <w:sz w:val="1"/>
                <w:szCs w:val="1"/>
                <w:color w:val="auto"/>
              </w:rPr>
            </w:pPr>
          </w:p>
        </w:tc>
      </w:tr>
      <w:tr>
        <w:trPr>
          <w:trHeight w:val="161"/>
        </w:trPr>
        <w:tc>
          <w:tcPr>
            <w:tcW w:w="4400" w:type="dxa"/>
            <w:vAlign w:val="bottom"/>
            <w:gridSpan w:val="2"/>
          </w:tcPr>
          <w:p>
            <w:pPr>
              <w:ind w:left="1380"/>
              <w:spacing w:after="0"/>
              <w:rPr>
                <w:sz w:val="20"/>
                <w:szCs w:val="20"/>
                <w:color w:val="auto"/>
              </w:rPr>
            </w:pPr>
            <w:r>
              <w:rPr>
                <w:rFonts w:ascii="Arial" w:cs="Arial" w:eastAsia="Arial" w:hAnsi="Arial"/>
                <w:sz w:val="14"/>
                <w:szCs w:val="14"/>
                <w:b w:val="1"/>
                <w:bCs w:val="1"/>
                <w:i w:val="1"/>
                <w:iCs w:val="1"/>
                <w:color w:val="auto"/>
              </w:rPr>
              <w:t>($ in millions)</w:t>
            </w: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Luxury</w:t>
            </w: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Asia Pacific</w:t>
            </w: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assets</w:t>
            </w:r>
          </w:p>
        </w:tc>
        <w:tc>
          <w:tcPr>
            <w:tcW w:w="3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Corporate and other</w:t>
            </w:r>
          </w:p>
        </w:tc>
        <w:tc>
          <w:tcPr>
            <w:tcW w:w="3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183</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480" w:type="dxa"/>
            <w:vAlign w:val="bottom"/>
            <w:gridSpan w:val="3"/>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Equity Method Investments</w:t>
            </w: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400" w:type="dxa"/>
            <w:vAlign w:val="bottom"/>
            <w:gridSpan w:val="2"/>
            <w:vMerge w:val="continue"/>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At Year-End</w:t>
            </w:r>
          </w:p>
        </w:tc>
        <w:tc>
          <w:tcPr>
            <w:tcW w:w="720" w:type="dxa"/>
            <w:vAlign w:val="bottom"/>
          </w:tcPr>
          <w:p>
            <w:pPr>
              <w:spacing w:after="0"/>
              <w:rPr>
                <w:sz w:val="24"/>
                <w:szCs w:val="2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At Year-End</w:t>
            </w:r>
          </w:p>
        </w:tc>
        <w:tc>
          <w:tcPr>
            <w:tcW w:w="0" w:type="dxa"/>
            <w:vAlign w:val="bottom"/>
          </w:tcPr>
          <w:p>
            <w:pPr>
              <w:spacing w:after="0"/>
              <w:rPr>
                <w:sz w:val="1"/>
                <w:szCs w:val="1"/>
                <w:color w:val="auto"/>
              </w:rPr>
            </w:pPr>
          </w:p>
        </w:tc>
      </w:tr>
      <w:tr>
        <w:trPr>
          <w:trHeight w:val="161"/>
        </w:trPr>
        <w:tc>
          <w:tcPr>
            <w:tcW w:w="4400" w:type="dxa"/>
            <w:vAlign w:val="bottom"/>
            <w:gridSpan w:val="2"/>
          </w:tcPr>
          <w:p>
            <w:pPr>
              <w:ind w:left="1380"/>
              <w:spacing w:after="0"/>
              <w:rPr>
                <w:sz w:val="20"/>
                <w:szCs w:val="20"/>
                <w:color w:val="auto"/>
              </w:rPr>
            </w:pPr>
            <w:r>
              <w:rPr>
                <w:rFonts w:ascii="Arial" w:cs="Arial" w:eastAsia="Arial" w:hAnsi="Arial"/>
                <w:sz w:val="14"/>
                <w:szCs w:val="14"/>
                <w:b w:val="1"/>
                <w:bCs w:val="1"/>
                <w:i w:val="1"/>
                <w:iCs w:val="1"/>
                <w:color w:val="auto"/>
              </w:rPr>
              <w:t>($ in millions)</w:t>
            </w:r>
          </w:p>
        </w:tc>
        <w:tc>
          <w:tcPr>
            <w:tcW w:w="3840" w:type="dxa"/>
            <w:vAlign w:val="bottom"/>
            <w:gridSpan w:val="4"/>
          </w:tcPr>
          <w:p>
            <w:pPr>
              <w:ind w:left="3320"/>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center"/>
              <w:ind w:right="96"/>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3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1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480" w:type="dxa"/>
            <w:vAlign w:val="bottom"/>
            <w:gridSpan w:val="3"/>
          </w:tcPr>
          <w:p>
            <w:pPr>
              <w:ind w:left="1140"/>
              <w:spacing w:after="0"/>
              <w:rPr>
                <w:sz w:val="20"/>
                <w:szCs w:val="20"/>
                <w:color w:val="auto"/>
              </w:rPr>
            </w:pPr>
            <w:r>
              <w:rPr>
                <w:rFonts w:ascii="Arial" w:cs="Arial" w:eastAsia="Arial" w:hAnsi="Arial"/>
                <w:sz w:val="18"/>
                <w:szCs w:val="18"/>
                <w:color w:val="auto"/>
              </w:rPr>
              <w:t>F-43</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2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52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$ 113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Luxury</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Asia Pacific</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7"/>
        </w:trPr>
        <w:tc>
          <w:tcPr>
            <w:tcW w:w="5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capital expenditures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133</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Corporate and other</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7"/>
        </w:trPr>
        <w:tc>
          <w:tcPr>
            <w:tcW w:w="5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138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135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Financial Statements include the following items related to operations located outside the United States (which are predominately related to our Europe and Asia Pacific segments):</w:t>
      </w:r>
    </w:p>
    <w:p>
      <w:pPr>
        <w:spacing w:after="0" w:line="51" w:lineRule="exact"/>
        <w:rPr>
          <w:sz w:val="20"/>
          <w:szCs w:val="20"/>
          <w:color w:val="auto"/>
        </w:rPr>
      </w:pPr>
    </w:p>
    <w:p>
      <w:pPr>
        <w:ind w:left="1920" w:hanging="440"/>
        <w:spacing w:after="0"/>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Revenues, excluding reimbursed costs, of $245 million in 2012, $288 million in 2011 and $274 million in 2010; and</w:t>
      </w:r>
    </w:p>
    <w:p>
      <w:pPr>
        <w:spacing w:after="0" w:line="90" w:lineRule="exact"/>
        <w:rPr>
          <w:rFonts w:ascii="Arial" w:cs="Arial" w:eastAsia="Arial" w:hAnsi="Arial"/>
          <w:sz w:val="18"/>
          <w:szCs w:val="18"/>
          <w:color w:val="auto"/>
        </w:rPr>
      </w:pPr>
    </w:p>
    <w:p>
      <w:pPr>
        <w:ind w:left="1920" w:right="220" w:hanging="440"/>
        <w:spacing w:after="0" w:line="268"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Fixed assets of $101 million in 2012 and $91 million in 2011. For year-end 2012 and year-end 2011, fixed assets located outside the United States are included within the “Property and equipment” caption in our Balance Sheets.</w:t>
      </w:r>
    </w:p>
    <w:p>
      <w:pPr>
        <w:spacing w:after="0" w:line="206" w:lineRule="exact"/>
        <w:rPr>
          <w:rFonts w:ascii="Arial" w:cs="Arial" w:eastAsia="Arial" w:hAnsi="Arial"/>
          <w:sz w:val="18"/>
          <w:szCs w:val="18"/>
          <w:color w:val="auto"/>
        </w:rPr>
      </w:pPr>
    </w:p>
    <w:p>
      <w:pPr>
        <w:ind w:left="280" w:hanging="272"/>
        <w:spacing w:after="0"/>
        <w:tabs>
          <w:tab w:leader="none" w:pos="2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180" w:type="dxa"/>
            <w:vAlign w:val="bottom"/>
            <w:gridSpan w:val="2"/>
          </w:tcPr>
          <w:p>
            <w:pPr>
              <w:spacing w:after="0"/>
              <w:rPr>
                <w:sz w:val="20"/>
                <w:szCs w:val="20"/>
                <w:color w:val="auto"/>
              </w:rPr>
            </w:pPr>
            <w:r>
              <w:rPr>
                <w:rFonts w:ascii="Arial" w:cs="Arial" w:eastAsia="Arial" w:hAnsi="Arial"/>
                <w:sz w:val="14"/>
                <w:szCs w:val="14"/>
                <w:i w:val="1"/>
                <w:iCs w:val="1"/>
                <w:color w:val="auto"/>
              </w:rPr>
              <w:t>($ in millions, except per share data)</w:t>
            </w: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83"/>
              </w:rPr>
              <w:t>Fiscal Year 2012</w:t>
            </w:r>
            <w:r>
              <w:rPr>
                <w:rFonts w:ascii="Arial" w:cs="Arial" w:eastAsia="Arial" w:hAnsi="Arial"/>
                <w:sz w:val="22"/>
                <w:szCs w:val="22"/>
                <w:b w:val="1"/>
                <w:bCs w:val="1"/>
                <w:color w:val="auto"/>
                <w:w w:val="83"/>
                <w:vertAlign w:val="superscript"/>
              </w:rPr>
              <w:t>(1)(2)(3)</w:t>
            </w:r>
          </w:p>
        </w:tc>
        <w:tc>
          <w:tcPr>
            <w:tcW w:w="3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tcPr>
          <w:p>
            <w:pPr>
              <w:ind w:left="40"/>
              <w:spacing w:after="0" w:line="129" w:lineRule="exact"/>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11"/>
                <w:szCs w:val="11"/>
                <w:color w:val="auto"/>
              </w:rPr>
            </w:pPr>
          </w:p>
        </w:tc>
        <w:tc>
          <w:tcPr>
            <w:tcW w:w="76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w w:val="90"/>
              </w:rPr>
              <w:t>Fourth</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5"/>
              </w:rPr>
              <w:t>Fiscal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Quarter</w:t>
            </w:r>
          </w:p>
        </w:tc>
        <w:tc>
          <w:tcPr>
            <w:tcW w:w="880" w:type="dxa"/>
            <w:vAlign w:val="bottom"/>
            <w:gridSpan w:val="6"/>
          </w:tcPr>
          <w:p>
            <w:pPr>
              <w:ind w:left="160"/>
              <w:spacing w:after="0"/>
              <w:rPr>
                <w:sz w:val="20"/>
                <w:szCs w:val="20"/>
                <w:color w:val="auto"/>
              </w:rPr>
            </w:pPr>
            <w:r>
              <w:rPr>
                <w:rFonts w:ascii="Arial" w:cs="Arial" w:eastAsia="Arial" w:hAnsi="Arial"/>
                <w:sz w:val="14"/>
                <w:szCs w:val="14"/>
                <w:b w:val="1"/>
                <w:bCs w:val="1"/>
                <w:color w:val="auto"/>
              </w:rPr>
              <w:t>Quarter</w:t>
            </w:r>
          </w:p>
        </w:tc>
        <w:tc>
          <w:tcPr>
            <w:tcW w:w="1040" w:type="dxa"/>
            <w:vAlign w:val="bottom"/>
            <w:gridSpan w:val="6"/>
          </w:tcPr>
          <w:p>
            <w:pPr>
              <w:ind w:left="160"/>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387</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386</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rPr>
              <w:t>$ (359)</w:t>
            </w:r>
          </w:p>
        </w:tc>
        <w:tc>
          <w:tcPr>
            <w:tcW w:w="880" w:type="dxa"/>
            <w:vAlign w:val="bottom"/>
            <w:gridSpan w:val="6"/>
          </w:tcPr>
          <w:p>
            <w:pPr>
              <w:jc w:val="right"/>
              <w:ind w:right="112"/>
              <w:spacing w:after="0"/>
              <w:rPr>
                <w:sz w:val="20"/>
                <w:szCs w:val="20"/>
                <w:color w:val="auto"/>
              </w:rPr>
            </w:pPr>
            <w:r>
              <w:rPr>
                <w:rFonts w:ascii="Arial" w:cs="Arial" w:eastAsia="Arial" w:hAnsi="Arial"/>
                <w:sz w:val="18"/>
                <w:szCs w:val="18"/>
                <w:color w:val="auto"/>
              </w:rPr>
              <w:t>$ (377)</w:t>
            </w:r>
          </w:p>
        </w:tc>
        <w:tc>
          <w:tcPr>
            <w:tcW w:w="1040" w:type="dxa"/>
            <w:vAlign w:val="bottom"/>
            <w:gridSpan w:val="6"/>
          </w:tcPr>
          <w:p>
            <w:pPr>
              <w:jc w:val="right"/>
              <w:ind w:right="340"/>
              <w:spacing w:after="0"/>
              <w:rPr>
                <w:sz w:val="20"/>
                <w:szCs w:val="20"/>
                <w:color w:val="auto"/>
              </w:rPr>
            </w:pPr>
            <w:r>
              <w:rPr>
                <w:rFonts w:ascii="Arial" w:cs="Arial" w:eastAsia="Arial" w:hAnsi="Arial"/>
                <w:sz w:val="18"/>
                <w:szCs w:val="18"/>
                <w:color w:val="auto"/>
              </w:rPr>
              <w:t>$ (368)</w:t>
            </w:r>
          </w:p>
        </w:tc>
        <w:tc>
          <w:tcPr>
            <w:tcW w:w="780" w:type="dxa"/>
            <w:vAlign w:val="bottom"/>
            <w:gridSpan w:val="4"/>
          </w:tcPr>
          <w:p>
            <w:pPr>
              <w:jc w:val="right"/>
              <w:ind w:right="240"/>
              <w:spacing w:after="0"/>
              <w:rPr>
                <w:sz w:val="20"/>
                <w:szCs w:val="20"/>
                <w:color w:val="auto"/>
              </w:rPr>
            </w:pPr>
            <w:r>
              <w:rPr>
                <w:rFonts w:ascii="Arial" w:cs="Arial" w:eastAsia="Arial" w:hAnsi="Arial"/>
                <w:sz w:val="18"/>
                <w:szCs w:val="18"/>
                <w:color w:val="auto"/>
                <w:w w:val="91"/>
              </w:rPr>
              <w:t>$ (519)</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(1,623)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rPr>
              <w:t>$ 0.25</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$ 0.25</w:t>
            </w:r>
          </w:p>
        </w:tc>
        <w:tc>
          <w:tcPr>
            <w:tcW w:w="22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$ 0.18</w:t>
            </w:r>
          </w:p>
        </w:tc>
        <w:tc>
          <w:tcPr>
            <w:tcW w:w="380" w:type="dxa"/>
            <w:vAlign w:val="bottom"/>
          </w:tcPr>
          <w:p>
            <w:pPr>
              <w:spacing w:after="0"/>
              <w:rPr>
                <w:sz w:val="18"/>
                <w:szCs w:val="18"/>
                <w:color w:val="auto"/>
              </w:rPr>
            </w:pPr>
          </w:p>
        </w:tc>
        <w:tc>
          <w:tcPr>
            <w:tcW w:w="780" w:type="dxa"/>
            <w:vAlign w:val="bottom"/>
            <w:gridSpan w:val="4"/>
          </w:tcPr>
          <w:p>
            <w:pPr>
              <w:jc w:val="right"/>
              <w:ind w:right="2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(0.22)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$ 0.24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$ 0.24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$ 0.17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83"/>
              </w:rPr>
              <w:t>Fiscal Year 2011</w:t>
            </w:r>
            <w:r>
              <w:rPr>
                <w:rFonts w:ascii="Arial" w:cs="Arial" w:eastAsia="Arial" w:hAnsi="Arial"/>
                <w:sz w:val="22"/>
                <w:szCs w:val="22"/>
                <w:b w:val="1"/>
                <w:bCs w:val="1"/>
                <w:color w:val="auto"/>
                <w:w w:val="83"/>
                <w:vertAlign w:val="superscript"/>
              </w:rPr>
              <w:t>(1)(2)(4)</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4"/>
          </w:tcPr>
          <w:p>
            <w:pPr>
              <w:ind w:left="60"/>
              <w:spacing w:after="0" w:line="129" w:lineRule="exact"/>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11"/>
                <w:szCs w:val="11"/>
                <w:color w:val="auto"/>
              </w:rPr>
            </w:pPr>
          </w:p>
        </w:tc>
        <w:tc>
          <w:tcPr>
            <w:tcW w:w="76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4"/>
              </w:rPr>
              <w:t>Fourth</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5"/>
              </w:rPr>
              <w:t>Fiscal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Quarter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780" w:type="dxa"/>
            <w:vAlign w:val="bottom"/>
            <w:gridSpan w:val="4"/>
          </w:tcPr>
          <w:p>
            <w:pPr>
              <w:ind w:left="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7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380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378</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rPr>
              <w:t>$ (338)</w:t>
            </w:r>
          </w:p>
        </w:tc>
        <w:tc>
          <w:tcPr>
            <w:tcW w:w="880" w:type="dxa"/>
            <w:vAlign w:val="bottom"/>
            <w:gridSpan w:val="6"/>
          </w:tcPr>
          <w:p>
            <w:pPr>
              <w:ind w:left="180"/>
              <w:spacing w:after="0"/>
              <w:rPr>
                <w:sz w:val="20"/>
                <w:szCs w:val="20"/>
                <w:color w:val="auto"/>
              </w:rPr>
            </w:pPr>
            <w:r>
              <w:rPr>
                <w:rFonts w:ascii="Arial" w:cs="Arial" w:eastAsia="Arial" w:hAnsi="Arial"/>
                <w:sz w:val="18"/>
                <w:szCs w:val="18"/>
                <w:color w:val="auto"/>
              </w:rPr>
              <w:t>$ (352)</w:t>
            </w:r>
          </w:p>
        </w:tc>
        <w:tc>
          <w:tcPr>
            <w:tcW w:w="1040" w:type="dxa"/>
            <w:vAlign w:val="bottom"/>
            <w:gridSpan w:val="6"/>
          </w:tcPr>
          <w:p>
            <w:pPr>
              <w:ind w:left="180"/>
              <w:spacing w:after="0"/>
              <w:rPr>
                <w:sz w:val="20"/>
                <w:szCs w:val="20"/>
                <w:color w:val="auto"/>
              </w:rPr>
            </w:pPr>
            <w:r>
              <w:rPr>
                <w:rFonts w:ascii="Arial" w:cs="Arial" w:eastAsia="Arial" w:hAnsi="Arial"/>
                <w:sz w:val="18"/>
                <w:szCs w:val="18"/>
                <w:color w:val="auto"/>
              </w:rPr>
              <w:t>$ (684)</w:t>
            </w:r>
          </w:p>
        </w:tc>
        <w:tc>
          <w:tcPr>
            <w:tcW w:w="780" w:type="dxa"/>
            <w:vAlign w:val="bottom"/>
            <w:gridSpan w:val="4"/>
          </w:tcPr>
          <w:p>
            <w:pPr>
              <w:jc w:val="right"/>
              <w:ind w:right="240"/>
              <w:spacing w:after="0"/>
              <w:rPr>
                <w:sz w:val="20"/>
                <w:szCs w:val="20"/>
                <w:color w:val="auto"/>
              </w:rPr>
            </w:pPr>
            <w:r>
              <w:rPr>
                <w:rFonts w:ascii="Arial" w:cs="Arial" w:eastAsia="Arial" w:hAnsi="Arial"/>
                <w:sz w:val="18"/>
                <w:szCs w:val="18"/>
                <w:color w:val="auto"/>
                <w:w w:val="91"/>
              </w:rPr>
              <w:t>$ (459)</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(1,833)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 (221)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Basic earnings (loss) per share</w:t>
            </w: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180" w:type="dxa"/>
            <w:vAlign w:val="bottom"/>
            <w:gridSpan w:val="2"/>
            <w:vMerge w:val="continue"/>
          </w:tcPr>
          <w:p>
            <w:pPr>
              <w:spacing w:after="0"/>
              <w:rPr>
                <w:sz w:val="18"/>
                <w:szCs w:val="18"/>
                <w:color w:val="auto"/>
              </w:rPr>
            </w:pPr>
          </w:p>
        </w:tc>
        <w:tc>
          <w:tcPr>
            <w:tcW w:w="700" w:type="dxa"/>
            <w:vAlign w:val="bottom"/>
            <w:gridSpan w:val="3"/>
          </w:tcPr>
          <w:p>
            <w:pPr>
              <w:spacing w:after="0"/>
              <w:rPr>
                <w:sz w:val="20"/>
                <w:szCs w:val="20"/>
                <w:color w:val="auto"/>
              </w:rPr>
            </w:pPr>
            <w:r>
              <w:rPr>
                <w:rFonts w:ascii="Arial" w:cs="Arial" w:eastAsia="Arial" w:hAnsi="Arial"/>
                <w:sz w:val="18"/>
                <w:szCs w:val="18"/>
                <w:color w:val="auto"/>
              </w:rPr>
              <w:t>$ 0.58</w:t>
            </w: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$ 0.47</w:t>
            </w:r>
          </w:p>
        </w:tc>
        <w:tc>
          <w:tcPr>
            <w:tcW w:w="220" w:type="dxa"/>
            <w:vAlign w:val="bottom"/>
          </w:tcPr>
          <w:p>
            <w:pPr>
              <w:spacing w:after="0"/>
              <w:rPr>
                <w:sz w:val="18"/>
                <w:szCs w:val="18"/>
                <w:color w:val="auto"/>
              </w:rPr>
            </w:pPr>
          </w:p>
        </w:tc>
        <w:tc>
          <w:tcPr>
            <w:tcW w:w="1040" w:type="dxa"/>
            <w:vAlign w:val="bottom"/>
            <w:gridSpan w:val="6"/>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(6.57)</w:t>
            </w:r>
          </w:p>
        </w:tc>
        <w:tc>
          <w:tcPr>
            <w:tcW w:w="780" w:type="dxa"/>
            <w:vAlign w:val="bottom"/>
            <w:gridSpan w:val="4"/>
          </w:tcPr>
          <w:p>
            <w:pPr>
              <w:jc w:val="right"/>
              <w:ind w:right="300"/>
              <w:spacing w:after="0"/>
              <w:rPr>
                <w:sz w:val="20"/>
                <w:szCs w:val="20"/>
                <w:color w:val="auto"/>
              </w:rPr>
            </w:pPr>
            <w:r>
              <w:rPr>
                <w:rFonts w:ascii="Arial" w:cs="Arial" w:eastAsia="Arial" w:hAnsi="Arial"/>
                <w:sz w:val="18"/>
                <w:szCs w:val="18"/>
                <w:color w:val="auto"/>
                <w:w w:val="91"/>
              </w:rPr>
              <w:t>$ 0.24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$ 0.58</w:t>
            </w: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$ 0.47</w:t>
            </w:r>
          </w:p>
        </w:tc>
        <w:tc>
          <w:tcPr>
            <w:tcW w:w="22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ind w:lef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(6.57)</w:t>
            </w:r>
          </w:p>
        </w:tc>
        <w:tc>
          <w:tcPr>
            <w:tcW w:w="7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4"/>
              </w:rPr>
              <w:t>$ 0.23</w:t>
            </w:r>
            <w:r>
              <w:rPr>
                <w:rFonts w:ascii="Arial" w:cs="Arial" w:eastAsia="Arial" w:hAnsi="Arial"/>
                <w:sz w:val="11"/>
                <w:szCs w:val="11"/>
                <w:color w:val="auto"/>
                <w:w w:val="94"/>
              </w:rPr>
              <w:t>(5)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quarters consisted of 12 weeks, except for the fourth quarters of 2012 and 2011, which consisted of 16 weeks.</w:t>
      </w:r>
    </w:p>
    <w:p>
      <w:pPr>
        <w:spacing w:after="0" w:line="15"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sum of the earnings per share for the four quarters differs from annual earnings per share due to the required method of computing the weighted average shares in interim periods.</w:t>
      </w:r>
    </w:p>
    <w:p>
      <w:pPr>
        <w:ind w:left="460" w:right="6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immaterial correction of a prior period error was recorded during the fourth quarter 2012 for cost reimbursement revenues and expenses which adjusted total revenues and expenses for the first, second and third quarters of 2012.</w:t>
      </w:r>
    </w:p>
    <w:p>
      <w:pPr>
        <w:ind w:left="460" w:right="28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weighted average number of shares outstanding for purposes of calculating both basic and diluted earnings (loss) per share for all periods presented except the fourth quarter of fiscal year 2011 is 33.7 million shares.</w:t>
      </w:r>
    </w:p>
    <w:p>
      <w:pPr>
        <w:ind w:left="460" w:right="10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 discussed in Footnote No. 14, “Share-Based Compensation,” we issued equity awards that qualify as common stock equivalents in connection with and after the Spin-Off, resulting in a weighted average number of shares outstanding of 34.2 million for purposes of calculating diluted earnings (loss) per share.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19" w:name="page120"/>
    <w:bookmarkEnd w:id="119"/>
    <w:p>
      <w:pPr>
        <w:ind w:left="10520"/>
        <w:spacing w:after="0"/>
        <w:rPr>
          <w:sz w:val="20"/>
          <w:szCs w:val="20"/>
          <w:color w:val="auto"/>
        </w:rPr>
      </w:pPr>
      <w:r>
        <w:rPr>
          <w:rFonts w:ascii="Arial" w:cs="Arial" w:eastAsia="Arial" w:hAnsi="Arial"/>
          <w:sz w:val="16"/>
          <w:szCs w:val="16"/>
          <w:b w:val="1"/>
          <w:bCs w:val="1"/>
          <w:color w:val="auto"/>
        </w:rPr>
        <w:t>Exhibit 10.9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SERVICES EXHIBIT TO OMNIBUS TRANSITION SERVICES AGREEMENT</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THIS FIRST AMENDMENT TO SERVICES EXHIBIT TO OMNIBUS TRANSITION SERVICES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the 10</w:t>
      </w:r>
      <w:r>
        <w:rPr>
          <w:rFonts w:ascii="Arial" w:cs="Arial" w:eastAsia="Arial" w:hAnsi="Arial"/>
          <w:sz w:val="11"/>
          <w:szCs w:val="11"/>
          <w:color w:val="auto"/>
        </w:rPr>
        <w:t>th</w:t>
      </w:r>
      <w:r>
        <w:rPr>
          <w:rFonts w:ascii="Arial" w:cs="Arial" w:eastAsia="Arial" w:hAnsi="Arial"/>
          <w:sz w:val="18"/>
          <w:szCs w:val="18"/>
          <w:color w:val="auto"/>
        </w:rPr>
        <w:t xml:space="preserve"> day of October, 2012, is made by and between MARRIOTT INTERNATIONAL, INC., a Delaware corporation (“</w:t>
      </w:r>
      <w:r>
        <w:rPr>
          <w:rFonts w:ascii="Arial" w:cs="Arial" w:eastAsia="Arial" w:hAnsi="Arial"/>
          <w:sz w:val="18"/>
          <w:szCs w:val="18"/>
          <w:u w:val="single" w:color="auto"/>
          <w:color w:val="auto"/>
        </w:rPr>
        <w:t>MII</w:t>
      </w:r>
      <w:r>
        <w:rPr>
          <w:rFonts w:ascii="Arial" w:cs="Arial" w:eastAsia="Arial" w:hAnsi="Arial"/>
          <w:sz w:val="18"/>
          <w:szCs w:val="18"/>
          <w:color w:val="auto"/>
        </w:rPr>
        <w:t>”), and MARRIOTT VACATIONS WORLDWIDE CORPORATION, a Delaware corporation (“</w:t>
      </w:r>
      <w:r>
        <w:rPr>
          <w:rFonts w:ascii="Arial" w:cs="Arial" w:eastAsia="Arial" w:hAnsi="Arial"/>
          <w:sz w:val="18"/>
          <w:szCs w:val="18"/>
          <w:u w:val="single" w:color="auto"/>
          <w:color w:val="auto"/>
        </w:rPr>
        <w:t>MVWC</w:t>
      </w:r>
      <w:r>
        <w:rPr>
          <w:rFonts w:ascii="Arial" w:cs="Arial" w:eastAsia="Arial" w:hAnsi="Arial"/>
          <w:sz w:val="18"/>
          <w:szCs w:val="18"/>
          <w:color w:val="auto"/>
        </w:rPr>
        <w: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 MII and MVWC are parties to that certain Omnibus Transition Services Agreement, effective as of November 21, 2011 (the “</w:t>
      </w:r>
      <w:r>
        <w:rPr>
          <w:rFonts w:ascii="Arial" w:cs="Arial" w:eastAsia="Arial" w:hAnsi="Arial"/>
          <w:sz w:val="18"/>
          <w:szCs w:val="18"/>
          <w:u w:val="single" w:color="auto"/>
          <w:color w:val="auto"/>
        </w:rPr>
        <w:t>Agreement</w:t>
      </w:r>
      <w:r>
        <w:rPr>
          <w:rFonts w:ascii="Arial" w:cs="Arial" w:eastAsia="Arial" w:hAnsi="Arial"/>
          <w:sz w:val="18"/>
          <w:szCs w:val="18"/>
          <w:color w:val="auto"/>
        </w:rPr>
        <w:t>”), pursuant to which MII and its Affiliates agreed to provide certain services to MVWC on a temporary basis.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The services to be provided by MII to MVWC are described on exhibits (each a “</w:t>
      </w:r>
      <w:r>
        <w:rPr>
          <w:rFonts w:ascii="Arial" w:cs="Arial" w:eastAsia="Arial" w:hAnsi="Arial"/>
          <w:sz w:val="18"/>
          <w:szCs w:val="18"/>
          <w:u w:val="single" w:color="auto"/>
          <w:color w:val="auto"/>
        </w:rPr>
        <w:t>Services Exhibit</w:t>
      </w:r>
      <w:r>
        <w:rPr>
          <w:rFonts w:ascii="Arial" w:cs="Arial" w:eastAsia="Arial" w:hAnsi="Arial"/>
          <w:sz w:val="18"/>
          <w:szCs w:val="18"/>
          <w:color w:val="auto"/>
        </w:rPr>
        <w:t>”) to the Agreement.</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 MII and MVWC desire to execute this Amendment to revise certain terms and conditions of the Services Exhibit related to Golf Services (the “</w:t>
      </w:r>
      <w:r>
        <w:rPr>
          <w:rFonts w:ascii="Arial" w:cs="Arial" w:eastAsia="Arial" w:hAnsi="Arial"/>
          <w:sz w:val="18"/>
          <w:szCs w:val="18"/>
          <w:u w:val="single" w:color="auto"/>
          <w:color w:val="auto"/>
        </w:rPr>
        <w:t>Golf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Services Exhibit</w:t>
      </w:r>
      <w:r>
        <w:rPr>
          <w:rFonts w:ascii="Arial" w:cs="Arial" w:eastAsia="Arial" w:hAnsi="Arial"/>
          <w:sz w:val="18"/>
          <w:szCs w:val="18"/>
          <w:color w:val="auto"/>
        </w:rPr>
        <w: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All capitalized terms used and not otherwise defined herein shall have the meanings ascribed thereto in the Agreement.</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foregoing premises and the agreements, provisions and covenants herein contained, MII and MVWC hereby agree as follows:</w:t>
      </w:r>
    </w:p>
    <w:p>
      <w:pPr>
        <w:spacing w:after="0" w:line="132" w:lineRule="exact"/>
        <w:rPr>
          <w:sz w:val="20"/>
          <w:szCs w:val="20"/>
          <w:color w:val="auto"/>
        </w:rPr>
      </w:pPr>
    </w:p>
    <w:p>
      <w:pPr>
        <w:ind w:right="360" w:firstLine="464"/>
        <w:spacing w:after="0" w:line="268"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 of the Golf Services Exhibit is hereby extended until the end of MVWC’s 2017 fiscal year, subject to earlier termination as provided in the Agreement and the Golf Services Exhibit.</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4.a. of the Golf Services Exhibit is hereby amended by adding the following as the second sentence thereto:</w:t>
      </w:r>
    </w:p>
    <w:p>
      <w:pPr>
        <w:spacing w:after="0" w:line="90"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“Beginning with MVWC’s 2013 fiscal year, and for each fiscal year thereafter during the term of the Golf Services Exhibit, the annual Golf Services Fee payable by MVWC to MII shall be equal to the Golf Services Fee payable for the immediately prior fiscal year, plus that amount times the lesser of: (i) the annual percentage change in the GDP Deflator (as defined below) or (ii) three percent (3.0%). For purposes of this Amendment, the term “GDP Deflator” means the “Gross Domestic Product Implicit Price Deflator” issued from time to time by the United States Bureau of Economic Analysis of the Department of Commerce.”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20" w:name="page121"/>
    <w:bookmarkEnd w:id="120"/>
    <w:p>
      <w:pPr>
        <w:ind w:right="280" w:firstLine="464"/>
        <w:spacing w:after="0" w:line="268"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each represent that they have obtained all corporate authorizations, consents and approvals necessary to enter into this Amendment and to perform their respective obligations under the Agreement, as amended.</w:t>
      </w:r>
    </w:p>
    <w:p>
      <w:pPr>
        <w:spacing w:after="0" w:line="131" w:lineRule="exact"/>
        <w:rPr>
          <w:rFonts w:ascii="Arial" w:cs="Arial" w:eastAsia="Arial" w:hAnsi="Arial"/>
          <w:sz w:val="18"/>
          <w:szCs w:val="18"/>
          <w:color w:val="auto"/>
        </w:rPr>
      </w:pPr>
    </w:p>
    <w:p>
      <w:pPr>
        <w:ind w:right="700" w:firstLine="464"/>
        <w:spacing w:after="0" w:line="268"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modified by this Amendment, all other terms and conditions of the Agreement (including but not limited to the Services Exhibits), as amended, modified, restated or supplemented shall remain in full force and effect.</w:t>
      </w:r>
    </w:p>
    <w:p>
      <w:pPr>
        <w:spacing w:after="0" w:line="131" w:lineRule="exact"/>
        <w:rPr>
          <w:rFonts w:ascii="Arial" w:cs="Arial" w:eastAsia="Arial" w:hAnsi="Arial"/>
          <w:sz w:val="18"/>
          <w:szCs w:val="18"/>
          <w:color w:val="auto"/>
        </w:rPr>
      </w:pPr>
    </w:p>
    <w:p>
      <w:pPr>
        <w:ind w:right="260" w:firstLine="464"/>
        <w:spacing w:after="0" w:line="268"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This Amendment may be signed in any number of counterparts, each of which shall be an original, with the same effect as if the signature thereto and hereto were on the same instrument.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Amendment as of the day and year first above written.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MARRIOTT INTERNATIONAL,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P. Connelly</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James P. Connelly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 and Chief Financial Officer, The</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Americas</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24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Ralph Lee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Ralph Lee Cunningham</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10.11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PAYROLL SERVICES AGREEMENT</w:t>
      </w:r>
    </w:p>
    <w:p>
      <w:pPr>
        <w:spacing w:after="0" w:line="177"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This AMENDMENT (“Amendment”) to the PAYROLL SERVICES AGREEMENT (“Agreement”) dated November 17, 2011, by and between MARRIOTT INTERNATIONAL, INC., a Delaware corporation (“MII”), and MARRIOTT VACATIONS WORLDWIDE CORPORATION, a Delaware corporation (“MVWC”) is made and entered into on November 5, 2012. Capitalized terms used herein but not defined shall have the meaning ascribed to them in the Agreement.</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WHEREAS, Section 4.3 of the Agreement provides, in part, that MVWC and its affiliates (collectively, “Client) may terminate the Agreement for any reason or no reason upon one hundred twenty (120) days notice to MII and its affiliates (collectively “Service Provider”).</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WHEREAS, Client is currently negotiating a contract for the provision of outsourcing services, including payroll services, with ADP, Inc., and anticipates that negotiations, contract execution, testing and implementation will proceed over the next 90 to 120 days.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WHEREAS, Client desires to ensure that payroll services, including without limitation payroll payments, be delivered in a timely and accurate manner throughout the period of transition from Service Provider to ADP.</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Amendment, Service Provider and Client hereby agree that the Agreement be, and hereby is, amended as follows:</w:t>
      </w:r>
    </w:p>
    <w:p>
      <w:pPr>
        <w:spacing w:after="0" w:line="51" w:lineRule="exact"/>
        <w:rPr>
          <w:sz w:val="20"/>
          <w:szCs w:val="20"/>
          <w:color w:val="auto"/>
        </w:rPr>
      </w:pPr>
    </w:p>
    <w:p>
      <w:pPr>
        <w:ind w:left="460" w:right="100" w:hanging="452"/>
        <w:spacing w:after="0" w:line="283"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Client may give the notice of termination specified in Section 4.3 subject to an extension of the termination date upon further notice by Client on or before November 16, 2012, to the end of the first, second, third or fourth Marriott payroll quarter in 2013; provided that, (i) Client maintains its current platform with AonHewitt for PeopleSoft HR and employee benefits administration for the period Services are performed under this amendment; (ii) any subsequent notification by Client shall be subject to the notice periods in Section 4.3; and provided that (iii) any Services performed after the fourth payroll quarter in</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2012 shall exclude the following:</w:t>
      </w:r>
    </w:p>
    <w:p>
      <w:pPr>
        <w:spacing w:after="0" w:line="83" w:lineRule="exact"/>
        <w:rPr>
          <w:rFonts w:ascii="Arial" w:cs="Arial" w:eastAsia="Arial" w:hAnsi="Arial"/>
          <w:sz w:val="16"/>
          <w:szCs w:val="16"/>
          <w:color w:val="auto"/>
        </w:rPr>
      </w:pPr>
    </w:p>
    <w:p>
      <w:pPr>
        <w:ind w:left="900" w:hanging="446"/>
        <w:spacing w:after="0"/>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translation of payroll accounting data for posting to the general ledger from level 1 to level 5 or Level 3 to Level 5</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transmittal of General Ledger data in an automated way</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programming changes to Marrpay including but not limited to changes in existing interfaces, leave accruals, addition of new benefit plan deductions, interfaces to new third-party providers, etc.</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36"/>
        </w:numPr>
        <w:rPr>
          <w:rFonts w:ascii="Arial" w:cs="Arial" w:eastAsia="Arial" w:hAnsi="Arial"/>
          <w:sz w:val="18"/>
          <w:szCs w:val="18"/>
          <w:color w:val="auto"/>
        </w:rPr>
      </w:pPr>
      <w:r>
        <w:rPr>
          <w:rFonts w:ascii="Arial" w:cs="Arial" w:eastAsia="Arial" w:hAnsi="Arial"/>
          <w:sz w:val="18"/>
          <w:szCs w:val="18"/>
          <w:color w:val="auto"/>
        </w:rPr>
        <w:t>period-end reporting (all reporting will be monthly)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22" w:name="page123"/>
    <w:bookmarkEnd w:id="122"/>
    <w:p>
      <w:pPr>
        <w:ind w:left="4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in paragraph 1 above, Service Provider and Client mutually agree that this Amendment does not constitute a waiver of any of their rights under the Agreement.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Except as specifically modified by this Amendment, all provisions of the Agreement remain in full force and effect.</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written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MARRIOTT VACATIONS WORLDWIDE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Michael E. Yonker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E. Yonker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Chief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MARRIOTT INTERNATIONAL,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Michael 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Michael Cullen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8"/>
          <w:szCs w:val="18"/>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10795</wp:posOffset>
            </wp:positionV>
            <wp:extent cx="22555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10.13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TO HUMAN RESOURCES AND INTERNAL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COMMUNICATIONS TRANSITION SERVICES AGREEMENT</w:t>
      </w:r>
    </w:p>
    <w:p>
      <w:pPr>
        <w:spacing w:after="0" w:line="16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This AMENDMENT (“Amendment”) to the HUMAN RESOURCES AND INTERNAL COMMUNICATIONS TRANSITION SERVICES AGREEMENT (“Agreement”) dated November 19, 2011, by and between MARRIOTT INTERNATIONAL, INC., a Delaware corporation (“MII”), and MARRIOTT VACATIONS WORLDWIDE CORPORATION, a Delaware corporation (“MVWC”) is made and entered into on October 26, 2012. Capitalized terms used herein but not defined shall have the meaning ascribed to them in the Agreement.</w:t>
      </w:r>
    </w:p>
    <w:p>
      <w:pPr>
        <w:spacing w:after="0" w:line="143"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WHEREAS, Section 1 of the Agreement provides, in part, that MVWC may terminate the Agreement for any reason or no reason upon one hundred twenty (120) days notice to MII.</w:t>
      </w:r>
    </w:p>
    <w:p>
      <w:pPr>
        <w:spacing w:after="0" w:line="132"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WHEREAS, Client is currently negotiating a contract for the provision of outsourcing services, including human resources services, with ADP, Inc., and anticipates that negotiations, contract execution, testing and implementation will proceed over the next 90 to 120 days.</w:t>
      </w:r>
    </w:p>
    <w:p>
      <w:pPr>
        <w:spacing w:after="0" w:line="8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WHEREAS, Client desires to ensure that human resources transition services be delivered in a timely and accurate manner throughout the period of transition from Service Provider to ADP.</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NOW, THEREFORE, in consideration of the mutual agreements, provisions and covenants contained in this Amendment, Service Provider and Client hereby agree that the Agreement be, and hereby is, amended as follows:</w:t>
      </w:r>
    </w:p>
    <w:p>
      <w:pPr>
        <w:spacing w:after="0" w:line="51" w:lineRule="exact"/>
        <w:rPr>
          <w:sz w:val="20"/>
          <w:szCs w:val="20"/>
          <w:color w:val="auto"/>
        </w:rPr>
      </w:pPr>
    </w:p>
    <w:p>
      <w:pPr>
        <w:ind w:left="460" w:right="100" w:hanging="452"/>
        <w:spacing w:after="0" w:line="283"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Client may give the notice of termination specified in Section 1 subject to an extension of the termination date upon further notice by Client on or before November 16, 2012, to the end of the first, second, third or fourth Marriott payroll quarter in 2013; provided that, (i) Client maintains its current platform with AonHewitt for PeopleSoft HR and employee benefits administration for the period Services are performed under this amendment; (ii) any subsequent notification by Client shall be subject to the notice period in Section 1; and provided that (iii) any Services performed after the fourth payroll quarter in</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2012 shall exclude the following:</w:t>
      </w:r>
    </w:p>
    <w:p>
      <w:pPr>
        <w:spacing w:after="0" w:line="83" w:lineRule="exact"/>
        <w:rPr>
          <w:rFonts w:ascii="Arial" w:cs="Arial" w:eastAsia="Arial" w:hAnsi="Arial"/>
          <w:sz w:val="16"/>
          <w:szCs w:val="16"/>
          <w:color w:val="auto"/>
        </w:rPr>
      </w:pPr>
    </w:p>
    <w:p>
      <w:pPr>
        <w:ind w:left="900" w:hanging="325"/>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Talent Acquisition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Merit and Bonus Processing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Commissions Processing</w:t>
      </w:r>
    </w:p>
    <w:p>
      <w:pPr>
        <w:sectPr>
          <w:pgSz w:w="11900" w:h="16838" w:orient="portrait"/>
          <w:cols w:equalWidth="0" w:num="1">
            <w:col w:w="11420"/>
          </w:cols>
          <w:pgMar w:left="240" w:top="125" w:right="239" w:bottom="1440" w:gutter="0" w:footer="0" w:header="0"/>
        </w:sectPr>
      </w:pPr>
    </w:p>
    <w:bookmarkStart w:id="124" w:name="page125"/>
    <w:bookmarkEnd w:id="124"/>
    <w:p>
      <w:pPr>
        <w:ind w:left="46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in paragraph 1 above, MII and MVWC mutually agree that this Amendment does not constitute a waiver of any of their rights under the Agreement.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Except as specifically modified by this Amendment, all provisions of the Agreement remain in full force and effect.</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written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MARRIOTT VACATIONS WORLDWIDE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/s/ Michael E. Yonker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26841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Michael E. Yonker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231521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Executive Vice President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231521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Executive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23152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MARRIOTT INTERNATIONAL, INC.</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David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10795</wp:posOffset>
            </wp:positionV>
            <wp:extent cx="26841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 David A.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23152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Title:</w:t>
        <w:tab/>
        <w:t>Executive Vice President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23152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Chief Executive Human Resources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10795</wp:posOffset>
            </wp:positionV>
            <wp:extent cx="231521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143510</wp:posOffset>
            </wp:positionV>
            <wp:extent cx="6089015" cy="7289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8901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Board of Directors (the “Board”) of Marriott Vacations Worldwide Corporation, a Delaware corporation (the “Company”), has previously established the Marriott Vacations Worldwide Corporation Stock and Cash Incentive Plan (the “Plan”), which authorizes the grant of awards of shares of the Company’s common stock (“Common Stock”) to Directors and Employees (as defined therein) of the Company. The Compensation Policy Committee of the Board of Directors (the “Committee”) is authorized to administer the Plan, including the authority to make grants and establish the terms and conditions thereof.</w:t>
      </w:r>
    </w:p>
    <w:p>
      <w:pPr>
        <w:spacing w:after="0" w:line="113"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An “Approved Retiree” is any awardee of an award who retires from employment with the Company with the specific approval of the Committee on or after such date on which the awardee has attained age fifty-five (55) and completed ten (10) Years of Service, and has entered into and has not breached an agreement to refrain from Engaging in Competition in form and substance satisfactory to the Committee.</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“Engaging in Competition” is defined in the Plan as (i) engaging, individually or as an employee, consultant, owner (more than five percent (5%)) or agent of any entity, in or on behalf of any business engaged in significant competition (or that transacts or cooperates with another business in activities of significant competition) with any business operated by the Company or with interests adverse to those of the Company; (ii) soliciting and hiring a key employee of the Company in another business, whether or not in significant competition with any business operated by the Company; or (iii) using or disclosing confidential or proprietary information, in each case, without the approval of the Company. Requests for consideration will be made in writing to the attention of the CEO. Company approval will be granted or denied in writing by the Company within thirty (30) days after its receipt of a written request by the Approved Retiree.</w:t>
      </w:r>
    </w:p>
    <w:p>
      <w:pPr>
        <w:spacing w:after="0" w:line="12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Your signature below confirms that you understand and agree not to engage in competition as outlined in the Plan document for the term and under the conditions as set forth therein.</w:t>
      </w:r>
    </w:p>
    <w:p>
      <w:pPr>
        <w:spacing w:after="0" w:line="17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Agreed to and Accepted by:</w:t>
      </w:r>
    </w:p>
    <w:p>
      <w:pPr>
        <w:spacing w:after="0" w:line="225"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10795</wp:posOffset>
            </wp:positionV>
            <wp:extent cx="19983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32"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Signature:</w:t>
        <w:tab/>
        <w:t>/s/ Robert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10795</wp:posOffset>
            </wp:positionV>
            <wp:extent cx="19983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32"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Robert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10795</wp:posOffset>
            </wp:positionV>
            <wp:extent cx="199834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998345"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156845</wp:posOffset>
            </wp:positionV>
            <wp:extent cx="4210685" cy="8661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210685" cy="8661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10.24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Contractor Agreement</w:t>
      </w:r>
    </w:p>
    <w:p>
      <w:pPr>
        <w:spacing w:after="0" w:line="96"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This Independent Contractor Agreement (“Agreement”) is dated as of January 2, 2013 and effective as of January 1, 2013, by and between Marriott Ownership Resorts, Inc., with a principal place of business located at 6649 Westwood Boulevard, Orlando, FL 32821 (“MORI”), and RAMCO Advisors, LLC , with an address of 3114 Winged Foot Dr. Lakeland, FL 33803 (“Contractor”).</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MORI is in the business of developing, marketing, selling and managing vacation ownership and related products,</w:t>
      </w:r>
    </w:p>
    <w:p>
      <w:pPr>
        <w:spacing w:after="0" w:line="171" w:lineRule="exact"/>
        <w:rPr>
          <w:sz w:val="20"/>
          <w:szCs w:val="20"/>
          <w:color w:val="auto"/>
        </w:rPr>
      </w:pPr>
    </w:p>
    <w:p>
      <w:pPr>
        <w:ind w:right="82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Contractor has substantial experience in the vacation ownership industry, with expertise in new business design, merger and</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projects, and leadership of special project teams; and</w:t>
      </w:r>
    </w:p>
    <w:p>
      <w:pPr>
        <w:spacing w:after="0" w:line="120" w:lineRule="exact"/>
        <w:rPr>
          <w:sz w:val="20"/>
          <w:szCs w:val="20"/>
          <w:color w:val="auto"/>
        </w:rPr>
      </w:pPr>
    </w:p>
    <w:p>
      <w:pPr>
        <w:ind w:right="300" w:firstLine="913"/>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Contractor has specialized knowledge of vacation ownership industry trends and a network of contacts throughout the industry that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leadership of prominent industry organizations;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agree as follows:</w:t>
      </w:r>
    </w:p>
    <w:p>
      <w:pPr>
        <w:spacing w:after="0" w:line="171" w:lineRule="exact"/>
        <w:rPr>
          <w:sz w:val="20"/>
          <w:szCs w:val="20"/>
          <w:color w:val="auto"/>
        </w:rPr>
      </w:pPr>
    </w:p>
    <w:p>
      <w:pPr>
        <w:ind w:right="680" w:firstLine="913"/>
        <w:spacing w:after="0" w:line="310"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u w:val="single" w:color="auto"/>
          <w:color w:val="auto"/>
        </w:rPr>
        <w:t>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MORI hereby engages Contractor to provide and perform during the term of this Agreement the services, duties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described in this Agreement, including the specific services described in Schedule A (“Services”), in accordance with such standards and specifications as may be set forth in Schedule A and such other standards as MORI may reasonably establish on prior notice to Contractor.</w:t>
      </w:r>
    </w:p>
    <w:p>
      <w:pPr>
        <w:spacing w:after="0" w:line="97" w:lineRule="exact"/>
        <w:rPr>
          <w:sz w:val="20"/>
          <w:szCs w:val="20"/>
          <w:color w:val="auto"/>
        </w:rPr>
      </w:pPr>
    </w:p>
    <w:p>
      <w:pPr>
        <w:ind w:right="360" w:firstLine="913"/>
        <w:spacing w:after="0" w:line="378" w:lineRule="auto"/>
        <w:rPr>
          <w:sz w:val="20"/>
          <w:szCs w:val="20"/>
          <w:color w:val="auto"/>
        </w:rPr>
      </w:pPr>
      <w:r>
        <w:rPr>
          <w:rFonts w:ascii="Arial" w:cs="Arial" w:eastAsia="Arial" w:hAnsi="Arial"/>
          <w:sz w:val="15"/>
          <w:szCs w:val="15"/>
          <w:b w:val="1"/>
          <w:bCs w:val="1"/>
          <w:color w:val="auto"/>
        </w:rPr>
        <w:t xml:space="preserve">Section 2. </w:t>
      </w:r>
      <w:r>
        <w:rPr>
          <w:rFonts w:ascii="Arial" w:cs="Arial" w:eastAsia="Arial" w:hAnsi="Arial"/>
          <w:sz w:val="15"/>
          <w:szCs w:val="15"/>
          <w:b w:val="1"/>
          <w:bCs w:val="1"/>
          <w:u w:val="single" w:color="auto"/>
          <w:color w:val="auto"/>
        </w:rPr>
        <w:t>Fees</w:t>
      </w:r>
      <w:r>
        <w:rPr>
          <w:rFonts w:ascii="Arial" w:cs="Arial" w:eastAsia="Arial" w:hAnsi="Arial"/>
          <w:sz w:val="15"/>
          <w:szCs w:val="15"/>
          <w:b w:val="1"/>
          <w:bCs w:val="1"/>
          <w:color w:val="auto"/>
        </w:rPr>
        <w:t xml:space="preserve">. </w:t>
      </w:r>
      <w:r>
        <w:rPr>
          <w:rFonts w:ascii="Arial" w:cs="Arial" w:eastAsia="Arial" w:hAnsi="Arial"/>
          <w:sz w:val="15"/>
          <w:szCs w:val="15"/>
          <w:color w:val="auto"/>
        </w:rPr>
        <w:t>In exchange for the Services, MORI shall pay Contractor the fees set forth in Schedule A when submitted by invoices. Invoices</w:t>
      </w:r>
      <w:r>
        <w:rPr>
          <w:rFonts w:ascii="Arial" w:cs="Arial" w:eastAsia="Arial" w:hAnsi="Arial"/>
          <w:sz w:val="15"/>
          <w:szCs w:val="15"/>
          <w:b w:val="1"/>
          <w:bCs w:val="1"/>
          <w:color w:val="auto"/>
        </w:rPr>
        <w:t xml:space="preserve"> </w:t>
      </w:r>
      <w:r>
        <w:rPr>
          <w:rFonts w:ascii="Arial" w:cs="Arial" w:eastAsia="Arial" w:hAnsi="Arial"/>
          <w:sz w:val="15"/>
          <w:szCs w:val="15"/>
          <w:color w:val="auto"/>
        </w:rPr>
        <w:t>should be submitted on a monthly basis as set forth in Schedule A and should identify the general nature of the Services provided for the preceding month.</w:t>
      </w:r>
    </w:p>
    <w:p>
      <w:pPr>
        <w:spacing w:after="0" w:line="51" w:lineRule="exact"/>
        <w:rPr>
          <w:sz w:val="20"/>
          <w:szCs w:val="20"/>
          <w:color w:val="auto"/>
        </w:rPr>
      </w:pPr>
    </w:p>
    <w:p>
      <w:pPr>
        <w:ind w:right="880" w:firstLine="913"/>
        <w:spacing w:after="0" w:line="275" w:lineRule="auto"/>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begin as of the date this Agreement is signed, unless otherwise specified, and shall continue until</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2015, unless terminated sooner as hereinafter set forth.</w:t>
      </w:r>
    </w:p>
    <w:p>
      <w:pPr>
        <w:spacing w:after="0" w:line="120" w:lineRule="exact"/>
        <w:rPr>
          <w:sz w:val="20"/>
          <w:szCs w:val="20"/>
          <w:color w:val="auto"/>
        </w:rPr>
      </w:pPr>
    </w:p>
    <w:p>
      <w:pPr>
        <w:ind w:right="20" w:firstLine="913"/>
        <w:spacing w:after="0" w:line="258"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Control of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in this Agreement, MORI shall neither have nor exercise any control or direction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methods by which Contractor performs Contractor’s work and functions; the sole interest and responsibility of MORI is to ensure that the services covered by this Agreement are performed in a competent, efficient and satisfactory manner. Except as may be otherwise set forth in this Agreement, contractor shall exclusively control Contractor’s hours and other working conditions.</w:t>
      </w:r>
    </w:p>
    <w:p>
      <w:pPr>
        <w:spacing w:after="0" w:line="136" w:lineRule="exact"/>
        <w:rPr>
          <w:sz w:val="20"/>
          <w:szCs w:val="20"/>
          <w:color w:val="auto"/>
        </w:rPr>
      </w:pPr>
    </w:p>
    <w:p>
      <w:pPr>
        <w:ind w:right="20" w:firstLine="913"/>
        <w:spacing w:after="0" w:line="275"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Tools and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set forth in Schedule A, Contractor agrees to provide any special materials, tools and equipment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needed by Contractor in performing Services under this Agreement.</w:t>
      </w:r>
    </w:p>
    <w:p>
      <w:pPr>
        <w:spacing w:after="0" w:line="120" w:lineRule="exact"/>
        <w:rPr>
          <w:sz w:val="20"/>
          <w:szCs w:val="20"/>
          <w:color w:val="auto"/>
        </w:rPr>
      </w:pPr>
    </w:p>
    <w:p>
      <w:pPr>
        <w:ind w:right="220" w:firstLine="913"/>
        <w:spacing w:after="0" w:line="275"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Relationship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hereby agree that they are at all times acting as independent contractors who have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on the terms and</w:t>
      </w:r>
    </w:p>
    <w:p>
      <w:pPr>
        <w:sectPr>
          <w:pgSz w:w="11900" w:h="16838" w:orient="portrait"/>
          <w:cols w:equalWidth="0" w:num="1">
            <w:col w:w="11420"/>
          </w:cols>
          <w:pgMar w:left="240" w:top="125" w:right="239" w:bottom="1440" w:gutter="0" w:footer="0" w:header="0"/>
        </w:sectPr>
      </w:pPr>
    </w:p>
    <w:bookmarkStart w:id="127" w:name="page128"/>
    <w:bookmarkEnd w:id="12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conditions set forth in the Agreement. Nothing in this Agreement will be construed or deemed to create a relationship of employer and employee or principal and agent between MORI and Contractor, and Contractor agrees not to assert that the relationship with MORI is other than an independent contractor relationship. This obligation will survive any termination of this Agreement.</w:t>
      </w:r>
    </w:p>
    <w:p>
      <w:pPr>
        <w:spacing w:after="0" w:line="134" w:lineRule="exact"/>
        <w:rPr>
          <w:sz w:val="20"/>
          <w:szCs w:val="20"/>
          <w:color w:val="auto"/>
        </w:rPr>
      </w:pPr>
    </w:p>
    <w:p>
      <w:pPr>
        <w:ind w:right="180" w:firstLine="913"/>
        <w:spacing w:after="0" w:line="291" w:lineRule="auto"/>
        <w:rPr>
          <w:sz w:val="20"/>
          <w:szCs w:val="20"/>
          <w:color w:val="auto"/>
        </w:rPr>
      </w:pPr>
      <w:r>
        <w:rPr>
          <w:rFonts w:ascii="Arial" w:cs="Arial" w:eastAsia="Arial" w:hAnsi="Arial"/>
          <w:sz w:val="16"/>
          <w:szCs w:val="16"/>
          <w:b w:val="1"/>
          <w:bCs w:val="1"/>
          <w:color w:val="auto"/>
        </w:rPr>
        <w:t xml:space="preserve">Section 7. </w:t>
      </w:r>
      <w:r>
        <w:rPr>
          <w:rFonts w:ascii="Arial" w:cs="Arial" w:eastAsia="Arial" w:hAnsi="Arial"/>
          <w:sz w:val="16"/>
          <w:szCs w:val="16"/>
          <w:b w:val="1"/>
          <w:bCs w:val="1"/>
          <w:u w:val="single" w:color="auto"/>
          <w:color w:val="auto"/>
        </w:rPr>
        <w:t>Policies and Conduct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shall respect the premises and comply with the security and other applicable policies of MORI while</w:t>
      </w:r>
      <w:r>
        <w:rPr>
          <w:rFonts w:ascii="Arial" w:cs="Arial" w:eastAsia="Arial" w:hAnsi="Arial"/>
          <w:sz w:val="16"/>
          <w:szCs w:val="16"/>
          <w:b w:val="1"/>
          <w:bCs w:val="1"/>
          <w:color w:val="auto"/>
        </w:rPr>
        <w:t xml:space="preserve"> </w:t>
      </w:r>
      <w:r>
        <w:rPr>
          <w:rFonts w:ascii="Arial" w:cs="Arial" w:eastAsia="Arial" w:hAnsi="Arial"/>
          <w:sz w:val="16"/>
          <w:szCs w:val="16"/>
          <w:color w:val="auto"/>
        </w:rPr>
        <w:t>working on a MORI owned or operated property (“MORI Site”). While on the premises of any MORI Site or while in the company of MORI customers or potential customers, Contractor will be subject to the rules and regulations of that MORI Site, and will conduct themselves in a manner consistent with the standards, quality and image of the MORI Site. In keeping with the practices of any MORI Site, Contractor will wear proper attire on premises. MORI may provide the use of an office(s) or computer equipment for the use of the Contractor MORI’s option. MORI may require the removal from the premises of Contractor for failure to comply with Schedule B. Contractor shall sign and acknowledge the Information and Systems Protection Acknowledgment for Temps. Consultants, and other Contractors as set out in Schedule B.</w:t>
      </w:r>
    </w:p>
    <w:p>
      <w:pPr>
        <w:spacing w:after="0" w:line="113" w:lineRule="exact"/>
        <w:rPr>
          <w:sz w:val="20"/>
          <w:szCs w:val="20"/>
          <w:color w:val="auto"/>
        </w:rPr>
      </w:pPr>
    </w:p>
    <w:p>
      <w:pPr>
        <w:ind w:right="200" w:firstLine="913"/>
        <w:spacing w:after="0" w:line="262" w:lineRule="auto"/>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Licenses and Permits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shall obtain and keep valid and in force at all times any licenses or permits required to perform the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If any license or permit is no longer valid and in force for any reason: (i) Contractor shall notify MORI immediately, and (ii) MORI may immediately terminate this Agreement.</w:t>
      </w:r>
    </w:p>
    <w:p>
      <w:pPr>
        <w:spacing w:after="0" w:line="132" w:lineRule="exact"/>
        <w:rPr>
          <w:sz w:val="20"/>
          <w:szCs w:val="20"/>
          <w:color w:val="auto"/>
        </w:rPr>
      </w:pPr>
    </w:p>
    <w:p>
      <w:pPr>
        <w:ind w:right="280" w:firstLine="913"/>
        <w:spacing w:after="0" w:line="301" w:lineRule="auto"/>
        <w:rPr>
          <w:sz w:val="20"/>
          <w:szCs w:val="20"/>
          <w:color w:val="auto"/>
        </w:rPr>
      </w:pPr>
      <w:r>
        <w:rPr>
          <w:rFonts w:ascii="Arial" w:cs="Arial" w:eastAsia="Arial" w:hAnsi="Arial"/>
          <w:sz w:val="16"/>
          <w:szCs w:val="16"/>
          <w:b w:val="1"/>
          <w:bCs w:val="1"/>
          <w:color w:val="auto"/>
        </w:rPr>
        <w:t xml:space="preserve">Section 9. </w:t>
      </w:r>
      <w:r>
        <w:rPr>
          <w:rFonts w:ascii="Arial" w:cs="Arial" w:eastAsia="Arial" w:hAnsi="Arial"/>
          <w:sz w:val="16"/>
          <w:szCs w:val="16"/>
          <w:b w:val="1"/>
          <w:bCs w:val="1"/>
          <w:u w:val="single" w:color="auto"/>
          <w:color w:val="auto"/>
        </w:rPr>
        <w:t>Compliance with Employment-Related Laws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is solely responsible for compliance with all federal, state and local laws,</w:t>
      </w:r>
      <w:r>
        <w:rPr>
          <w:rFonts w:ascii="Arial" w:cs="Arial" w:eastAsia="Arial" w:hAnsi="Arial"/>
          <w:sz w:val="16"/>
          <w:szCs w:val="16"/>
          <w:b w:val="1"/>
          <w:bCs w:val="1"/>
          <w:color w:val="auto"/>
        </w:rPr>
        <w:t xml:space="preserve"> </w:t>
      </w:r>
      <w:r>
        <w:rPr>
          <w:rFonts w:ascii="Arial" w:cs="Arial" w:eastAsia="Arial" w:hAnsi="Arial"/>
          <w:sz w:val="16"/>
          <w:szCs w:val="16"/>
          <w:color w:val="auto"/>
        </w:rPr>
        <w:t>rules, regulations, and ordinances that apply to Contractor or Contractor’s employment relationship with others, including without limitation responsibility for maintaining all records and complying with all requirements for federal, state and local wage and hour purposes, including exemption certificates, I-9 forms, wages, social security, income, unemployment and other taxes or insurance including workers’ compensation insurance incident to employment.</w:t>
      </w:r>
    </w:p>
    <w:p>
      <w:pPr>
        <w:spacing w:after="0" w:line="103" w:lineRule="exact"/>
        <w:rPr>
          <w:sz w:val="20"/>
          <w:szCs w:val="20"/>
          <w:color w:val="auto"/>
        </w:rPr>
      </w:pPr>
    </w:p>
    <w:p>
      <w:pPr>
        <w:ind w:right="640" w:firstLine="913"/>
        <w:spacing w:after="0" w:line="275"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is responsible for payment of any taxes (including all federal, state and local employment taxes) applicable to</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performance under this Agreement.</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represents and warrants that:</w:t>
      </w:r>
    </w:p>
    <w:p>
      <w:pPr>
        <w:spacing w:after="0" w:line="177" w:lineRule="exact"/>
        <w:rPr>
          <w:sz w:val="20"/>
          <w:szCs w:val="20"/>
          <w:color w:val="auto"/>
        </w:rPr>
      </w:pPr>
    </w:p>
    <w:p>
      <w:pPr>
        <w:ind w:firstLine="464"/>
        <w:spacing w:after="0" w:line="255"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Services (i) will be performed in a timely, professional, and workmanlike manner, in compliance with applicable industry standards and in accordance with the requirements of this Agreement; (ii) will comply with applicable laws, rules, or regulations; (iii) will not violate or infringe upon the rights of third parties, including contractual, employment, trade secrets, proprietary information, and non-disclosure rights, or any trademark, copyright, or patent rights; and (iv) to the extent consisting of deliverables, will be technically correct and based upon MORI furnished criteria and upon any other information or documents mutually agreed upon by the parties.</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Contractor has complied with all applicable legal requirements, including, without limitation, those related to immigration status, taxes, and insurance.</w:t>
      </w:r>
    </w:p>
    <w:p>
      <w:pPr>
        <w:spacing w:after="0" w:line="194" w:lineRule="exact"/>
        <w:rPr>
          <w:rFonts w:ascii="Arial" w:cs="Arial" w:eastAsia="Arial" w:hAnsi="Arial"/>
          <w:sz w:val="16"/>
          <w:szCs w:val="16"/>
          <w:color w:val="auto"/>
        </w:rPr>
      </w:pPr>
    </w:p>
    <w:p>
      <w:pPr>
        <w:ind w:right="200" w:firstLine="464"/>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Contractor is qualified to act as a vacation ownership industry consultant and has experience in new business design, merger and acquisition projects, and leadership of special project teams, as well as knowledge of vacation ownership industry trends and a network of contacts throughout the industry that includes the leadership of prominent industry organizations.</w:t>
      </w:r>
    </w:p>
    <w:p>
      <w:pPr>
        <w:sectPr>
          <w:pgSz w:w="11900" w:h="16838" w:orient="portrait"/>
          <w:cols w:equalWidth="0" w:num="1">
            <w:col w:w="11400"/>
          </w:cols>
          <w:pgMar w:left="240" w:top="280" w:right="259" w:bottom="1440" w:gutter="0" w:footer="0" w:header="0"/>
        </w:sectPr>
      </w:pPr>
    </w:p>
    <w:bookmarkStart w:id="128" w:name="page129"/>
    <w:bookmarkEnd w:id="128"/>
    <w:p>
      <w:pPr>
        <w:ind w:firstLine="464"/>
        <w:spacing w:after="0" w:line="253"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Contractor is familiar with the U.S. Foreign Corrupt Practices Act of 1977 as amended from time to time (“FCPA”) and its purposes, including </w:t>
      </w:r>
      <w:r>
        <w:rPr>
          <w:rFonts w:ascii="Arial" w:cs="Arial" w:eastAsia="Arial" w:hAnsi="Arial"/>
          <w:sz w:val="18"/>
          <w:szCs w:val="18"/>
          <w:u w:val="single" w:color="auto"/>
          <w:color w:val="auto"/>
        </w:rPr>
        <w:t>inter alia</w:t>
      </w:r>
      <w:r>
        <w:rPr>
          <w:rFonts w:ascii="Arial" w:cs="Arial" w:eastAsia="Arial" w:hAnsi="Arial"/>
          <w:sz w:val="18"/>
          <w:szCs w:val="18"/>
          <w:color w:val="auto"/>
        </w:rPr>
        <w:t xml:space="preserve"> its prohibition of the payment or giving of anything of value by a United States company to an official of a foreign government for the purpose of influencing an act or decision in such individual’s official capacity or inducing him to use his influence with the foreign government to assist a company in obtaining or retaining business for or with or directing business to any person; none of Contractor’s compensation will be used by it for any purpose which would constitute a violation of any law, including the FCPA; no payment, gift, offer or promise of anything of value has been made or will be made by Contractor, or any of its officers, employees, shareholders, agents, principals, representatives or affiliates, directly or indirectly to any foreign official for purposes of influencing such official in violation of the FCPA.</w:t>
      </w:r>
    </w:p>
    <w:p>
      <w:pPr>
        <w:spacing w:after="0" w:line="147" w:lineRule="exact"/>
        <w:rPr>
          <w:rFonts w:ascii="Arial" w:cs="Arial" w:eastAsia="Arial" w:hAnsi="Arial"/>
          <w:sz w:val="18"/>
          <w:szCs w:val="18"/>
          <w:color w:val="auto"/>
        </w:rPr>
      </w:pPr>
    </w:p>
    <w:p>
      <w:pPr>
        <w:ind w:right="340" w:firstLine="464"/>
        <w:spacing w:after="0" w:line="306" w:lineRule="auto"/>
        <w:tabs>
          <w:tab w:leader="none" w:pos="695" w:val="left"/>
        </w:tabs>
        <w:numPr>
          <w:ilvl w:val="0"/>
          <w:numId w:val="41"/>
        </w:numPr>
        <w:rPr>
          <w:rFonts w:ascii="Arial" w:cs="Arial" w:eastAsia="Arial" w:hAnsi="Arial"/>
          <w:sz w:val="16"/>
          <w:szCs w:val="16"/>
          <w:color w:val="auto"/>
        </w:rPr>
      </w:pPr>
      <w:r>
        <w:rPr>
          <w:rFonts w:ascii="Arial" w:cs="Arial" w:eastAsia="Arial" w:hAnsi="Arial"/>
          <w:sz w:val="16"/>
          <w:szCs w:val="16"/>
          <w:color w:val="auto"/>
        </w:rPr>
        <w:t>Neither Contractor nor any of his employees, officers, directors, shareholders, principals or affiliates is or will be a person or entity described under Section 1 of U.S. Executive Order 13224, issued on September 23, 2001, or a Specially Designated National or Blocked Person (as listed at www.ustreas.gov/offices/enforcement/ofac), or otherwise a person with whom MORI, or its affiliates are prohibited from transacting business.</w:t>
      </w:r>
    </w:p>
    <w:p>
      <w:pPr>
        <w:spacing w:after="0" w:line="106" w:lineRule="exact"/>
        <w:rPr>
          <w:rFonts w:ascii="Arial" w:cs="Arial" w:eastAsia="Arial" w:hAnsi="Arial"/>
          <w:sz w:val="16"/>
          <w:szCs w:val="16"/>
          <w:color w:val="auto"/>
        </w:rPr>
      </w:pPr>
    </w:p>
    <w:p>
      <w:pPr>
        <w:ind w:right="100" w:firstLine="464"/>
        <w:spacing w:after="0" w:line="268" w:lineRule="auto"/>
        <w:tabs>
          <w:tab w:leader="none" w:pos="6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Contractor hereby represents and covenants that he, as well as his employees, if any, will at all times comply with all applicable anti-money laundering and anti-terrorist financing laws.</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Contractor shall be the sole employer of all personnel involved in providing the services contemplated by this Agreement and shall be solely liable for any obligations relating to employment of such personnel.</w:t>
      </w:r>
    </w:p>
    <w:p>
      <w:pPr>
        <w:spacing w:after="0" w:line="126" w:lineRule="exact"/>
        <w:rPr>
          <w:sz w:val="20"/>
          <w:szCs w:val="20"/>
          <w:color w:val="auto"/>
        </w:rPr>
      </w:pPr>
    </w:p>
    <w:p>
      <w:pPr>
        <w:ind w:right="560" w:firstLine="913"/>
        <w:spacing w:after="0" w:line="309" w:lineRule="auto"/>
        <w:rPr>
          <w:sz w:val="20"/>
          <w:szCs w:val="20"/>
          <w:color w:val="auto"/>
        </w:rPr>
      </w:pPr>
      <w:r>
        <w:rPr>
          <w:rFonts w:ascii="Arial" w:cs="Arial" w:eastAsia="Arial" w:hAnsi="Arial"/>
          <w:sz w:val="15"/>
          <w:szCs w:val="15"/>
          <w:b w:val="1"/>
          <w:bCs w:val="1"/>
          <w:color w:val="auto"/>
        </w:rPr>
        <w:t xml:space="preserve">Section 12. </w:t>
      </w:r>
      <w:r>
        <w:rPr>
          <w:rFonts w:ascii="Arial" w:cs="Arial" w:eastAsia="Arial" w:hAnsi="Arial"/>
          <w:sz w:val="15"/>
          <w:szCs w:val="15"/>
          <w:b w:val="1"/>
          <w:bCs w:val="1"/>
          <w:u w:val="single" w:color="auto"/>
          <w:color w:val="auto"/>
        </w:rPr>
        <w:t>No Conflict of Interest</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Contractor may perform services similar to the Services for third parties in Contractor’s sole discretion;</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however, that (i) the performance of such similar services shall not be deemed a justification or excuse for any failure to perform hereunder, and</w:t>
      </w:r>
    </w:p>
    <w:p>
      <w:pPr>
        <w:ind w:right="420" w:firstLine="8"/>
        <w:spacing w:after="0" w:line="261" w:lineRule="auto"/>
        <w:tabs>
          <w:tab w:leader="none" w:pos="2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Contractor shall notify MORI of any actual or perceived conflict of interests, and may not perform such similar services if MORI declines to waive such conflict of interest.</w:t>
      </w:r>
    </w:p>
    <w:p>
      <w:pPr>
        <w:spacing w:after="0" w:line="132"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b w:val="1"/>
          <w:bCs w:val="1"/>
          <w:color w:val="auto"/>
        </w:rPr>
        <w:t xml:space="preserve">Section 13. </w:t>
      </w: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MORI may terminate this Agreement as follows: MORI may terminate this Agreement on thirty (30) days’ prior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notice if Contractor fails to perform any of Contractor’s obligations under this Agreement, and Contractor fails to remedy such failure within 30 business days of receipt of notice. MORI or Contractor may, in addition, terminate this Agreement at its convenience on 30-business days’ prior notice. If Contractor has not completed the Services by the expiration or termination of this Agreement, MORI shall not be obligated to pay any amounts that exceed the reasonable value of Services received from Contractor by the expiration or termination date. MORI may, at its discretion, suspend performance of all or part of the Services during the termination notice period. Upon termination for any reason, each party shall immediately return to the other any property, documents and information belonging to the other that is in its possession, subject to any rights in such property, documents and information that may exist under this Agreement.</w:t>
      </w:r>
    </w:p>
    <w:p>
      <w:pPr>
        <w:sectPr>
          <w:pgSz w:w="11900" w:h="16838" w:orient="portrait"/>
          <w:cols w:equalWidth="0" w:num="1">
            <w:col w:w="11400"/>
          </w:cols>
          <w:pgMar w:left="240" w:top="280" w:right="259" w:bottom="1440" w:gutter="0" w:footer="0" w:header="0"/>
        </w:sectPr>
      </w:pPr>
    </w:p>
    <w:bookmarkStart w:id="129" w:name="page130"/>
    <w:bookmarkEnd w:id="129"/>
    <w:p>
      <w:pPr>
        <w:ind w:right="40" w:firstLine="913"/>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14. </w:t>
      </w: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agrees to defend, indemnify and hold harmless MORI and its directors, officers, employees, and agents,</w:t>
      </w:r>
      <w:r>
        <w:rPr>
          <w:rFonts w:ascii="Arial" w:cs="Arial" w:eastAsia="Arial" w:hAnsi="Arial"/>
          <w:sz w:val="16"/>
          <w:szCs w:val="16"/>
          <w:b w:val="1"/>
          <w:bCs w:val="1"/>
          <w:color w:val="auto"/>
        </w:rPr>
        <w:t xml:space="preserve"> </w:t>
      </w:r>
      <w:r>
        <w:rPr>
          <w:rFonts w:ascii="Arial" w:cs="Arial" w:eastAsia="Arial" w:hAnsi="Arial"/>
          <w:sz w:val="16"/>
          <w:szCs w:val="16"/>
          <w:color w:val="auto"/>
        </w:rPr>
        <w:t>from and against any and all claims, damages, costs, expenses, or liability, based upon, arising out of, or in any way related to the Services or any breach of this Agreement by Contractor, including, but not limited to, any negligence, willful misconduct, or other tortuous act or omission. MORI agrees to defend, indemnify and hold harmless Contractor and its directors, officers, employees, and agents, from and against any and all claims, damages, costs, expenses, or liability, based upon, arising out of, or in any way related to the Services or any breach of this Agreement by MORI, including, but not limited to, any negligence, willful misconduct, or other tortuous act or omission. This Section 14 will survive any termination of this Agreement for a period of twenty four months.</w:t>
      </w:r>
    </w:p>
    <w:p>
      <w:pPr>
        <w:spacing w:after="0" w:line="11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b w:val="1"/>
          <w:bCs w:val="1"/>
          <w:color w:val="auto"/>
        </w:rPr>
        <w:t xml:space="preserve">Section 15. </w:t>
      </w:r>
      <w:r>
        <w:rPr>
          <w:rFonts w:ascii="Arial" w:cs="Arial" w:eastAsia="Arial" w:hAnsi="Arial"/>
          <w:sz w:val="16"/>
          <w:szCs w:val="16"/>
          <w:b w:val="1"/>
          <w:bCs w:val="1"/>
          <w:u w:val="single" w:color="auto"/>
          <w:color w:val="auto"/>
        </w:rPr>
        <w:t>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shall carry and maintain at Contractor’s own cost and expense the following: ( Automobile liability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all owned, non-owned, and hired vehicles used in conjunction with the Service for bodily injury or property damage with combined single limit of not less than $ $500,000 each occurrence; and (iii) Worker’s Compensation insurance as and if required by applicable law. All policies shall be specifically endorsed to provide that the coverages obtained by virtue of this Agreement will be primary and that any insurance carried by MORI shall be excess and non-contributory. All policies shall be specifically endorsed to provide that such coverage shall not be canceled or materially changed without at least thirty (30) day’s prior written notice to MORI. Contractor shall deliver certificates of insurance and any renewals thereof to MORI, which evidences the required coverages.</w:t>
      </w:r>
    </w:p>
    <w:p>
      <w:pPr>
        <w:spacing w:after="0" w:line="111" w:lineRule="exact"/>
        <w:rPr>
          <w:sz w:val="20"/>
          <w:szCs w:val="20"/>
          <w:color w:val="auto"/>
        </w:rPr>
      </w:pPr>
    </w:p>
    <w:p>
      <w:pPr>
        <w:ind w:right="40" w:firstLine="913"/>
        <w:spacing w:after="0" w:line="258" w:lineRule="auto"/>
        <w:rPr>
          <w:sz w:val="20"/>
          <w:szCs w:val="20"/>
          <w:color w:val="auto"/>
        </w:rPr>
      </w:pPr>
      <w:r>
        <w:rPr>
          <w:rFonts w:ascii="Arial" w:cs="Arial" w:eastAsia="Arial" w:hAnsi="Arial"/>
          <w:sz w:val="18"/>
          <w:szCs w:val="18"/>
          <w:b w:val="1"/>
          <w:bCs w:val="1"/>
          <w:color w:val="auto"/>
        </w:rPr>
        <w:t xml:space="preserve">Section 16. </w:t>
      </w:r>
      <w:r>
        <w:rPr>
          <w:rFonts w:ascii="Arial" w:cs="Arial" w:eastAsia="Arial" w:hAnsi="Arial"/>
          <w:sz w:val="18"/>
          <w:szCs w:val="18"/>
          <w:b w:val="1"/>
          <w:bCs w:val="1"/>
          <w:u w:val="single" w:color="auto"/>
          <w:color w:val="auto"/>
        </w:rPr>
        <w:t>Liability</w:t>
      </w:r>
      <w:r>
        <w:rPr>
          <w:rFonts w:ascii="Arial" w:cs="Arial" w:eastAsia="Arial" w:hAnsi="Arial"/>
          <w:sz w:val="18"/>
          <w:szCs w:val="18"/>
          <w:color w:val="auto"/>
        </w:rPr>
        <w:t>. In no event shall MORI be liable for special, incidental, or consequential damages resulting from any breach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even if it has been notified of the possibility of it. In no event shall Contractor be liable for special, incidental, or consequential damages resulting from any breach of this Agreement, even if it has been notified of the possibility of it. This Section 16 shall survive termination of this Agreement for a period of twenty four months.</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Works Made for Hire</w:t>
      </w:r>
      <w:r>
        <w:rPr>
          <w:rFonts w:ascii="Arial" w:cs="Arial" w:eastAsia="Arial" w:hAnsi="Arial"/>
          <w:sz w:val="16"/>
          <w:szCs w:val="16"/>
          <w:b w:val="1"/>
          <w:bCs w:val="1"/>
          <w:color w:val="auto"/>
        </w:rPr>
        <w:t xml:space="preserve">. </w:t>
      </w:r>
      <w:r>
        <w:rPr>
          <w:rFonts w:ascii="Arial" w:cs="Arial" w:eastAsia="Arial" w:hAnsi="Arial"/>
          <w:sz w:val="16"/>
          <w:szCs w:val="16"/>
          <w:color w:val="auto"/>
        </w:rPr>
        <w:t>All information, reports, studies, computer programs (object or source code), customer lists, work products,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works of authorship, creative or audiovisual works, and other tangible or intangible material produced by or as a result of the Services shall be the sole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exclusive property of MORI, it being intended that such material shall be “works made for hire,” of which MORI shall be deemed the author. To the extent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such material is not deemed “works made for hire” under applicable law, Contractor hereby irrevocably grants, assigns, transfers,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sets over unto MORI all right, title, and interest of any kind, nature, or description in and to such material (including copyright, trade secret, and patent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rights). Contractor shall be entitled to use the materials only as permitted in this Agreement. Contractor agrees to execute any documents requested by MORI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evidence MORI’s ownership of such material, including, without limitation, documents evidencing the assignment of copyrights to MORI or any documents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required in connection with the registration of copyrights in the material produced hereunder. All materials produced as a result of the services shall be marked as</w:t>
      </w:r>
    </w:p>
    <w:p>
      <w:pPr>
        <w:spacing w:after="0" w:line="44"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follows: “Copyright 201</w:t>
      </w:r>
      <w:r>
        <w:rPr>
          <w:sz w:val="20"/>
          <w:szCs w:val="20"/>
          <w:color w:val="auto"/>
        </w:rPr>
        <w:tab/>
      </w:r>
      <w:r>
        <w:rPr>
          <w:rFonts w:ascii="Arial" w:cs="Arial" w:eastAsia="Arial" w:hAnsi="Arial"/>
          <w:sz w:val="16"/>
          <w:szCs w:val="16"/>
          <w:color w:val="auto"/>
        </w:rPr>
        <w:t>, Marriott Ownership Resorts, Inc. All rights reserved” or such other notice designated by MORI. This Section 17 shall survive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termination of this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60"/>
          </w:cols>
          <w:pgMar w:left="240" w:top="274" w:right="299" w:bottom="1440" w:gutter="0" w:footer="0" w:header="0"/>
        </w:sectPr>
      </w:pPr>
    </w:p>
    <w:bookmarkStart w:id="130" w:name="page131"/>
    <w:bookmarkEnd w:id="130"/>
    <w:p>
      <w:pPr>
        <w:ind w:right="160" w:firstLine="913"/>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18. </w:t>
      </w:r>
      <w:r>
        <w:rPr>
          <w:rFonts w:ascii="Arial" w:cs="Arial" w:eastAsia="Arial" w:hAnsi="Arial"/>
          <w:sz w:val="16"/>
          <w:szCs w:val="16"/>
          <w:b w:val="1"/>
          <w:bCs w:val="1"/>
          <w:u w:val="single" w:color="auto"/>
          <w:color w:val="auto"/>
        </w:rPr>
        <w:t>Confidential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acknowledges and agrees that the tangible and intangible information obtained or developed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performance of this Agreement is deemed by MORI and shall be considered by Contractor to be confidential and proprietary information owned exclusively by MORI (“Confidential Information”). Contractor shall not disclose MORI’s Confidential Information to any other entity or person without MORI’s prior written consent. Contractor shall not (i) make any use or copies of the Confidential Information except as required to provide the Services,</w:t>
      </w:r>
    </w:p>
    <w:p>
      <w:pPr>
        <w:spacing w:after="0" w:line="3" w:lineRule="exact"/>
        <w:rPr>
          <w:sz w:val="20"/>
          <w:szCs w:val="20"/>
          <w:color w:val="auto"/>
        </w:rPr>
      </w:pPr>
    </w:p>
    <w:p>
      <w:pPr>
        <w:ind w:right="40" w:firstLine="8"/>
        <w:spacing w:after="0" w:line="252" w:lineRule="auto"/>
        <w:tabs>
          <w:tab w:leader="none" w:pos="2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acquire any right in or assert any lien against the Confidential Information, (iii) sell, assign, lease, or otherwise dispose of Confidential Information to third parties or commercially exploit such information, (iv) refuse for any reason to promptly return Confidential Information to MORI if so requested. Upon termination of this Agreement, Contractor shall promptly return, or if so requested destroy, any Confidential Information in Contractor’s possession (including all copies thereof). Contractor agrees to notify MORI promptly and in writing of any circumstances of which Contractor has knowledge relating to any possession, use, or knowledge of any portion of the Confidential Information by any unauthorized person. This Section 18 shall survive termination of this Agreement for a period of twenty-four months.</w:t>
      </w:r>
    </w:p>
    <w:p>
      <w:pPr>
        <w:spacing w:after="0" w:line="14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b w:val="1"/>
          <w:bCs w:val="1"/>
          <w:color w:val="auto"/>
        </w:rPr>
        <w:t xml:space="preserve">Section 19. </w:t>
      </w:r>
      <w:r>
        <w:rPr>
          <w:rFonts w:ascii="Arial" w:cs="Arial" w:eastAsia="Arial" w:hAnsi="Arial"/>
          <w:sz w:val="16"/>
          <w:szCs w:val="16"/>
          <w:b w:val="1"/>
          <w:bCs w:val="1"/>
          <w:u w:val="single" w:color="auto"/>
          <w:color w:val="auto"/>
        </w:rPr>
        <w:t>Publicity</w:t>
      </w:r>
      <w:r>
        <w:rPr>
          <w:rFonts w:ascii="Arial" w:cs="Arial" w:eastAsia="Arial" w:hAnsi="Arial"/>
          <w:sz w:val="16"/>
          <w:szCs w:val="16"/>
          <w:b w:val="1"/>
          <w:bCs w:val="1"/>
          <w:color w:val="auto"/>
        </w:rPr>
        <w:t xml:space="preserve">. </w:t>
      </w:r>
      <w:r>
        <w:rPr>
          <w:rFonts w:ascii="Arial" w:cs="Arial" w:eastAsia="Arial" w:hAnsi="Arial"/>
          <w:sz w:val="16"/>
          <w:szCs w:val="16"/>
          <w:color w:val="auto"/>
        </w:rPr>
        <w:t>“MORI Marks” shall mean the names and trademarks (whether or not registered) of Marriott Ownership Resorts, Inc.,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MORI Marks shall be the sole and exclusive property of MORI, which shall own all right, title and interest therein. Contractor agrees not to claim any right, title or interest in MORI Marks or to challenge MORI’s rights therein. All use by Contractor of MORI Marks and the goodwill generated thereby shall inure to the benefit of MORI. Contractor shall not use MORI Marks in any marketing or publicity-related communication to a third-party (including but not limited to advertisements, press releases, web site listings, direct-mail campaigns, marketing collateral and customer lists), unless MORI has given its prior written approval in each instance. Contractor shall immediately cease any use of MORI Marks which is not approved by MORI. Any approval granted by MORI for use of MORI Marks is temporary, and may be withdrawn by MORI on prior written notice. Contractor may only use MORI Marks specifically as provided herein. Contractor may not copy a particular use of MORI Marks from an approved communication for use in a separate, unapproved communication. MORI has the right to review and approve all copy, images, placement on page, etc. prior to circulation, and may restrict circulation (e.g., require that particular communications be provided only on a confidential basis to a Contractor’s prospective customers). Unless specifically identified above, any approval hereunder shall apply only to the use of trade names, and not to the use of any logos or other stylized or graphical Marks. Use of MORI Marks is provided as is, without warranties of any kind. In no event will MORI be liable for any direct, indirect, consequential, incidental, punitive, or other damages, losses, costs, or expenses under this Agreement or otherwise relating to use of MORI Marks, whether arising in tort or contract, including but not limited to lost profits, even if advised of the possibility of such damages.</w:t>
      </w:r>
    </w:p>
    <w:p>
      <w:pPr>
        <w:spacing w:after="0" w:line="118" w:lineRule="exact"/>
        <w:rPr>
          <w:sz w:val="20"/>
          <w:szCs w:val="20"/>
          <w:color w:val="auto"/>
        </w:rPr>
      </w:pPr>
    </w:p>
    <w:p>
      <w:pPr>
        <w:ind w:right="100" w:firstLine="913"/>
        <w:spacing w:after="0" w:line="262"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b w:val="1"/>
          <w:bCs w:val="1"/>
          <w:u w:val="single" w:color="auto"/>
          <w:color w:val="auto"/>
        </w:rPr>
        <w:t>Audit</w:t>
      </w:r>
      <w:r>
        <w:rPr>
          <w:rFonts w:ascii="Arial" w:cs="Arial" w:eastAsia="Arial" w:hAnsi="Arial"/>
          <w:sz w:val="18"/>
          <w:szCs w:val="18"/>
          <w:b w:val="1"/>
          <w:bCs w:val="1"/>
          <w:color w:val="auto"/>
        </w:rPr>
        <w:t xml:space="preserve">. </w:t>
      </w:r>
      <w:r>
        <w:rPr>
          <w:rFonts w:ascii="Arial" w:cs="Arial" w:eastAsia="Arial" w:hAnsi="Arial"/>
          <w:sz w:val="18"/>
          <w:szCs w:val="18"/>
          <w:color w:val="auto"/>
        </w:rPr>
        <w:t>On ten business days’ notice and during regular business hours, MORI shall have the right to inspect, copy and audit the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of Contractor in connection with all matters related to this Agreement in order to evaluate compliance of Contractor with this Agreement, including, without limitation, compliance by Contractor with legal requirements.</w:t>
      </w:r>
    </w:p>
    <w:p>
      <w:pPr>
        <w:spacing w:after="0" w:line="132" w:lineRule="exact"/>
        <w:rPr>
          <w:sz w:val="20"/>
          <w:szCs w:val="20"/>
          <w:color w:val="auto"/>
        </w:rPr>
      </w:pPr>
    </w:p>
    <w:p>
      <w:pPr>
        <w:ind w:right="560" w:firstLine="913"/>
        <w:spacing w:after="0" w:line="275"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Assignment and Sub-Contracting</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rights and obligations under this Agreement may not be assigned, delegated, or</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subcontracted by Contractor in whole or in part without the prior written consent of MORI.</w:t>
      </w:r>
    </w:p>
    <w:p>
      <w:pPr>
        <w:sectPr>
          <w:pgSz w:w="11900" w:h="16838" w:orient="portrait"/>
          <w:cols w:equalWidth="0" w:num="1">
            <w:col w:w="11400"/>
          </w:cols>
          <w:pgMar w:left="240" w:top="274" w:right="259" w:bottom="1440" w:gutter="0" w:footer="0" w:header="0"/>
        </w:sectPr>
      </w:pPr>
    </w:p>
    <w:bookmarkStart w:id="131" w:name="page132"/>
    <w:bookmarkEnd w:id="131"/>
    <w:p>
      <w:pPr>
        <w:ind w:right="80" w:firstLine="913"/>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required or permitted to be given under this Agreement shall be in writing and shall be served personally,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by certified mail or commercial overnight delivery, postage prepaid with a return receipt requested, addressed to the other party as follows (or to such other persons or places as a party may designate in writing):</w:t>
      </w:r>
    </w:p>
    <w:p>
      <w:pPr>
        <w:sectPr>
          <w:pgSz w:w="11900" w:h="16838" w:orient="portrait"/>
          <w:cols w:equalWidth="0" w:num="1">
            <w:col w:w="11420"/>
          </w:cols>
          <w:pgMar w:left="240" w:top="274" w:right="239" w:bottom="1440" w:gutter="0" w:footer="0" w:header="0"/>
        </w:sectPr>
      </w:pPr>
    </w:p>
    <w:p>
      <w:pPr>
        <w:spacing w:after="0" w:line="179"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MORI:</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Marriott Ownership Resorts,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ATTN: James H Hunter, IV</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Executive Vice President &amp; General Counsel</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Marriott Vacations Worldwide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6649 Westwood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Orlando, FL 32821</w:t>
      </w:r>
    </w:p>
    <w:p>
      <w:pPr>
        <w:spacing w:after="0" w:line="111" w:lineRule="exact"/>
        <w:rPr>
          <w:sz w:val="20"/>
          <w:szCs w:val="20"/>
          <w:color w:val="auto"/>
        </w:rPr>
      </w:pPr>
    </w:p>
    <w:p>
      <w:pPr>
        <w:sectPr>
          <w:pgSz w:w="11900" w:h="16838" w:orient="portrait"/>
          <w:cols w:equalWidth="0" w:num="2">
            <w:col w:w="1880" w:space="720"/>
            <w:col w:w="8820"/>
          </w:cols>
          <w:pgMar w:left="240" w:top="274" w:right="239" w:bottom="1440" w:gutter="0" w:footer="0" w:header="0"/>
          <w:type w:val="continuous"/>
        </w:sectPr>
      </w:pPr>
    </w:p>
    <w:p>
      <w:pPr>
        <w:ind w:left="1380"/>
        <w:spacing w:after="0"/>
        <w:rPr>
          <w:sz w:val="20"/>
          <w:szCs w:val="20"/>
          <w:color w:val="auto"/>
        </w:rPr>
      </w:pPr>
      <w:r>
        <w:rPr>
          <w:rFonts w:ascii="Arial" w:cs="Arial" w:eastAsia="Arial" w:hAnsi="Arial"/>
          <w:sz w:val="16"/>
          <w:szCs w:val="16"/>
          <w:color w:val="auto"/>
        </w:rPr>
        <w:t>Contractor: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RAMCO Advisors,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Robert A. Miller,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3114 Winged Foot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Lakeland, FL 33803</w:t>
      </w:r>
    </w:p>
    <w:p>
      <w:pPr>
        <w:spacing w:after="0" w:line="159" w:lineRule="exact"/>
        <w:rPr>
          <w:sz w:val="20"/>
          <w:szCs w:val="20"/>
          <w:color w:val="auto"/>
        </w:rPr>
      </w:pPr>
    </w:p>
    <w:p>
      <w:pPr>
        <w:sectPr>
          <w:pgSz w:w="11900" w:h="16838" w:orient="portrait"/>
          <w:cols w:equalWidth="0" w:num="2">
            <w:col w:w="2180" w:space="420"/>
            <w:col w:w="8820"/>
          </w:cols>
          <w:pgMar w:left="240" w:top="274" w:right="239" w:bottom="1440" w:gutter="0" w:footer="0" w:header="0"/>
          <w:type w:val="continuous"/>
        </w:sectPr>
      </w:pPr>
    </w:p>
    <w:p>
      <w:pPr>
        <w:ind w:right="80" w:firstLine="913"/>
        <w:spacing w:after="0" w:line="256" w:lineRule="auto"/>
        <w:rPr>
          <w:sz w:val="20"/>
          <w:szCs w:val="20"/>
          <w:color w:val="auto"/>
        </w:rPr>
      </w:pPr>
      <w:r>
        <w:rPr>
          <w:rFonts w:ascii="Arial" w:cs="Arial" w:eastAsia="Arial" w:hAnsi="Arial"/>
          <w:sz w:val="18"/>
          <w:szCs w:val="18"/>
          <w:b w:val="1"/>
          <w:bCs w:val="1"/>
          <w:color w:val="auto"/>
        </w:rPr>
        <w:t xml:space="preserve">Section 23 Miscellaneous. </w:t>
      </w:r>
      <w:r>
        <w:rPr>
          <w:rFonts w:ascii="Arial" w:cs="Arial" w:eastAsia="Arial" w:hAnsi="Arial"/>
          <w:sz w:val="18"/>
          <w:szCs w:val="18"/>
          <w:color w:val="auto"/>
        </w:rPr>
        <w:t>This Agreement may not be modified or altered except by a written instrument executed by both parties. The failure of</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to exercise in any respects any right provided for herein shall not be deemed a waiver of any rights. This Agreement constitutes the entire Agreement between the parties with respect to the subject matter hereof and supersedes and merges all prior proposals, understandings, and all other agreements, oral and written between the parties relating to such subject matter. This Agreement shall be governed by the laws of the state of Florida without regard to its conflict of laws principles.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as of the day and year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20"/>
                <w:szCs w:val="20"/>
                <w:color w:val="auto"/>
              </w:rPr>
            </w:pPr>
            <w:r>
              <w:rPr>
                <w:rFonts w:ascii="Arial" w:cs="Arial" w:eastAsia="Arial" w:hAnsi="Arial"/>
                <w:sz w:val="18"/>
                <w:szCs w:val="18"/>
                <w:b w:val="1"/>
                <w:bCs w:val="1"/>
                <w:color w:val="auto"/>
              </w:rPr>
              <w:t>RAMCO Advisors, LLC:</w:t>
            </w:r>
          </w:p>
        </w:tc>
        <w:tc>
          <w:tcPr>
            <w:tcW w:w="6160" w:type="dxa"/>
            <w:vAlign w:val="bottom"/>
            <w:gridSpan w:val="2"/>
          </w:tcPr>
          <w:p>
            <w:pPr>
              <w:ind w:left="580"/>
              <w:spacing w:after="0"/>
              <w:rPr>
                <w:sz w:val="20"/>
                <w:szCs w:val="20"/>
                <w:color w:val="auto"/>
              </w:rPr>
            </w:pPr>
            <w:r>
              <w:rPr>
                <w:rFonts w:ascii="Arial" w:cs="Arial" w:eastAsia="Arial" w:hAnsi="Arial"/>
                <w:sz w:val="18"/>
                <w:szCs w:val="18"/>
                <w:b w:val="1"/>
                <w:bCs w:val="1"/>
                <w:color w:val="auto"/>
              </w:rPr>
              <w:t>MARRIOTT OWNERSHIP RESORTS, INC.:</w:t>
            </w:r>
          </w:p>
        </w:tc>
      </w:tr>
      <w:tr>
        <w:trPr>
          <w:trHeight w:val="43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Miller</w:t>
            </w:r>
          </w:p>
        </w:tc>
        <w:tc>
          <w:tcPr>
            <w:tcW w:w="580" w:type="dxa"/>
            <w:vAlign w:val="bottom"/>
          </w:tcPr>
          <w:p>
            <w:pPr>
              <w:spacing w:after="0"/>
              <w:rPr>
                <w:sz w:val="24"/>
                <w:szCs w:val="24"/>
                <w:color w:val="auto"/>
              </w:rPr>
            </w:pPr>
          </w:p>
        </w:tc>
        <w:tc>
          <w:tcPr>
            <w:tcW w:w="5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Weisz</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ROBERT A. MILLER</w:t>
            </w:r>
          </w:p>
        </w:tc>
        <w:tc>
          <w:tcPr>
            <w:tcW w:w="6160" w:type="dxa"/>
            <w:vAlign w:val="bottom"/>
            <w:gridSpan w:val="2"/>
          </w:tcPr>
          <w:p>
            <w:pPr>
              <w:ind w:left="580"/>
              <w:spacing w:after="0"/>
              <w:rPr>
                <w:sz w:val="20"/>
                <w:szCs w:val="20"/>
                <w:color w:val="auto"/>
              </w:rPr>
            </w:pPr>
            <w:r>
              <w:rPr>
                <w:rFonts w:ascii="Arial" w:cs="Arial" w:eastAsia="Arial" w:hAnsi="Arial"/>
                <w:sz w:val="18"/>
                <w:szCs w:val="18"/>
                <w:color w:val="auto"/>
              </w:rPr>
              <w:t>BY:  STEPHEN P. WEISZ</w:t>
            </w:r>
          </w:p>
        </w:tc>
      </w:tr>
      <w:tr>
        <w:trPr>
          <w:trHeight w:val="222"/>
        </w:trPr>
        <w:tc>
          <w:tcPr>
            <w:tcW w:w="5260" w:type="dxa"/>
            <w:vAlign w:val="bottom"/>
          </w:tcPr>
          <w:p>
            <w:pPr>
              <w:spacing w:after="0"/>
              <w:rPr>
                <w:sz w:val="20"/>
                <w:szCs w:val="20"/>
                <w:color w:val="auto"/>
              </w:rPr>
            </w:pPr>
            <w:r>
              <w:rPr>
                <w:rFonts w:ascii="Arial" w:cs="Arial" w:eastAsia="Arial" w:hAnsi="Arial"/>
                <w:sz w:val="18"/>
                <w:szCs w:val="18"/>
                <w:color w:val="auto"/>
              </w:rPr>
              <w:t>President</w:t>
            </w:r>
          </w:p>
        </w:tc>
        <w:tc>
          <w:tcPr>
            <w:tcW w:w="580" w:type="dxa"/>
            <w:vAlign w:val="bottom"/>
          </w:tcPr>
          <w:p>
            <w:pPr>
              <w:spacing w:after="0"/>
              <w:rPr>
                <w:sz w:val="19"/>
                <w:szCs w:val="19"/>
                <w:color w:val="auto"/>
              </w:rPr>
            </w:pPr>
          </w:p>
        </w:tc>
        <w:tc>
          <w:tcPr>
            <w:tcW w:w="5580" w:type="dxa"/>
            <w:vAlign w:val="bottom"/>
          </w:tcPr>
          <w:p>
            <w:pPr>
              <w:ind w:left="440"/>
              <w:spacing w:after="0"/>
              <w:rPr>
                <w:sz w:val="20"/>
                <w:szCs w:val="20"/>
                <w:color w:val="auto"/>
              </w:rPr>
            </w:pPr>
            <w:r>
              <w:rPr>
                <w:rFonts w:ascii="Arial" w:cs="Arial" w:eastAsia="Arial" w:hAnsi="Arial"/>
                <w:sz w:val="18"/>
                <w:szCs w:val="18"/>
                <w:color w:val="auto"/>
              </w:rPr>
              <w:t>President</w:t>
            </w:r>
          </w:p>
        </w:tc>
      </w:tr>
    </w:tbl>
    <w:p>
      <w:pPr>
        <w:sectPr>
          <w:pgSz w:w="11900" w:h="16838" w:orient="portrait"/>
          <w:cols w:equalWidth="0" w:num="1">
            <w:col w:w="11420"/>
          </w:cols>
          <w:pgMar w:left="240" w:top="274" w:right="239" w:bottom="1440" w:gutter="0" w:footer="0" w:header="0"/>
          <w:type w:val="continuous"/>
        </w:sectPr>
      </w:pPr>
    </w:p>
    <w:bookmarkStart w:id="132" w:name="page133"/>
    <w:bookmarkEnd w:id="13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AND SERVICES</w:t>
      </w:r>
    </w:p>
    <w:p>
      <w:pPr>
        <w:spacing w:after="0" w:line="205" w:lineRule="exact"/>
        <w:rPr>
          <w:sz w:val="20"/>
          <w:szCs w:val="20"/>
          <w:color w:val="auto"/>
        </w:rPr>
      </w:pPr>
    </w:p>
    <w:p>
      <w:pPr>
        <w:ind w:left="460" w:hanging="452"/>
        <w:spacing w:after="0" w:line="306"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Contractor shall perform services based on a work arrangement of time equal to approximately 100 eight hour days or the equivalent number of partial days and/or whole days per year. Attendance at industry conferences and meetings shall be considered as time worked under this Agreement. Contractor shall not be required to maintain or submit detail work records. Services shall include the following as may be assigned from time to time by MORI:</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Provide strategically focused capacity on selected projects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Engage with senior executive talent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Apply talent and timeshare industry experience in designated areas and projects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Lead special projects as directed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Lead or participate in merger and/or acquisitions teams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2"/>
          <w:numId w:val="44"/>
        </w:numPr>
        <w:rPr>
          <w:rFonts w:ascii="Arial" w:cs="Arial" w:eastAsia="Arial" w:hAnsi="Arial"/>
          <w:sz w:val="18"/>
          <w:szCs w:val="18"/>
          <w:color w:val="auto"/>
        </w:rPr>
      </w:pPr>
      <w:r>
        <w:rPr>
          <w:rFonts w:ascii="Arial" w:cs="Arial" w:eastAsia="Arial" w:hAnsi="Arial"/>
          <w:sz w:val="18"/>
          <w:szCs w:val="18"/>
          <w:color w:val="auto"/>
        </w:rPr>
        <w:t>Participate in new business design and/or implementation teams</w:t>
      </w:r>
    </w:p>
    <w:p>
      <w:pPr>
        <w:spacing w:after="0" w:line="90" w:lineRule="exact"/>
        <w:rPr>
          <w:rFonts w:ascii="Arial" w:cs="Arial" w:eastAsia="Arial" w:hAnsi="Arial"/>
          <w:sz w:val="18"/>
          <w:szCs w:val="18"/>
          <w:color w:val="auto"/>
        </w:rPr>
      </w:pPr>
    </w:p>
    <w:p>
      <w:pPr>
        <w:jc w:val="both"/>
        <w:ind w:left="900" w:right="420" w:hanging="446"/>
        <w:spacing w:after="0" w:line="259" w:lineRule="auto"/>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Participate in regulatory and political work by representing MORI before federal and state legislatures and regulatory agencies, and in industry organizations including the American Resort Development Administration (ARDA) and the Urban Land Institute (ULI). Advocate on behalf of MORI and/or the industry.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Maintain senior level industry contacts and insights and apply to formulation of strategic advice to MORI</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Success indicators shall include the following, without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Special project and assignment outcomes as measured by to be defined metrics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New business venture(s) outcomes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Effective ARDA participation and representation of MVWC issues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Regulatory or political process participation and outcomes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Attainment of these success indicators shall be assessed for MORI by its President.</w:t>
      </w:r>
    </w:p>
    <w:p>
      <w:pPr>
        <w:spacing w:after="0" w:line="90"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fees for the services shall be: $420,000 per year.</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Terms: $35,000 per month. Invoices shall be submitted to Stephen P Weisz at MVWC.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MORI shall pay properly submitted invoices within thirty (30) days after receipt thereof.</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MORI will reimburse Contractor for any and all reasonable out-of-pocket expenses, such as travel and ARDA and ULI (Urban Land Institute) organizational dues. All travel reimbursements will be subject to the guidelines contained in and in accordance with MORI Travel Policy established in Marriott Vacations Worldwide Corporation Policy (MVWP) 44.</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B</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INFORMATION AND SYSTEMS ACKNOWLEDGEMENT FOR TEMPS, CONSULTANTS AND OTHER CONTRACTORS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Robert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A,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December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Today’s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signing above, I hereby acknowledge and agree to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Protection and Confidentiality</w:t>
      </w:r>
    </w:p>
    <w:p>
      <w:pPr>
        <w:spacing w:after="0" w:line="8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As part of my assignment I will be given access to information about MORI and its business, in a variety of formats (paper, electronic, oral communications). This information, other than that which is already publicly available, is proprietary and confidential to MORI and I am responsible for keeping it confidential. I will not reproduce, disclose, or distribute MORI information in any way unless I am instructed to do so by MORI. If in doubt, I will not disclose information without seeking clarification from MORI. I may only use MORI information to perform my duties for MORI, and for no other purpose. As is the case for MORI associates, my access and use of MORI computer resources may be monitored by MORI at any time, with or without notice, and shall not in any way be deemed to be private or personal to 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MORI’s Systems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using the Company’s e-mail and Internet access capabilities, I will abide by the following:</w:t>
      </w:r>
    </w:p>
    <w:p>
      <w:pPr>
        <w:spacing w:after="0" w:line="90" w:lineRule="exact"/>
        <w:rPr>
          <w:sz w:val="20"/>
          <w:szCs w:val="20"/>
          <w:color w:val="auto"/>
        </w:rPr>
      </w:pPr>
    </w:p>
    <w:p>
      <w:pPr>
        <w:ind w:left="460" w:right="4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Internet is provided for business use. Inappropriate and offensive sites, such as those containing or promoting sexually explicit content, gambling, hate speech or criminal activity should never be accessed in the workplace or through the use of MORI computers and computing resources.</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E-mail messages may be required to be disclosed in legal proceedings and should be composed with dignity and care, as should all documents written on MORI’s behalf.</w:t>
      </w:r>
    </w:p>
    <w:p>
      <w:pPr>
        <w:spacing w:after="0" w:line="5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MORI’s non-solicitation guidelines state that e-mail may not be used to communicate advertisements, commercial announcements or solicitations for membership or subscriptions from any public or private enterprises.</w:t>
      </w:r>
    </w:p>
    <w:p>
      <w:pPr>
        <w:spacing w:after="0" w:line="50"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Think before you send! Any message that is sent can be misdirected or easily forwarded to someone else without consent. Special care should be taken when communicating sensitive or confidential information to ensure that it is appropriate for the intended recipients to be privy to the information being sent.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34" w:name="page135"/>
    <w:bookmarkEnd w:id="134"/>
    <w:p>
      <w:pPr>
        <w:ind w:left="460" w:right="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message should never be sent if it could be perceived as offensive by another. Derogatory expressions should never be used. (Examples include jokes, slogans, cartoons or other material of an offensive nature related to a person’s race, color, national origin, sex, religion, sexual orientation, age, disability or veteran status.)</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E-mail chain letters should not be sent or forwarded. These letters are not only annoying, they add unnecessarily to an already high volume of e-mail traffic.</w:t>
      </w:r>
    </w:p>
    <w:p>
      <w:pPr>
        <w:spacing w:after="0" w:line="124" w:lineRule="exact"/>
        <w:rPr>
          <w:rFonts w:ascii="Arial" w:cs="Arial" w:eastAsia="Arial" w:hAnsi="Arial"/>
          <w:sz w:val="15"/>
          <w:szCs w:val="15"/>
          <w:color w:val="auto"/>
        </w:rPr>
      </w:pPr>
    </w:p>
    <w:p>
      <w:pPr>
        <w:ind w:left="460" w:right="12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Messages should be distributed only to those who will benefit from it. When posting a message to an e-mail bulletin board or public folder, remember that everyone can view it.</w:t>
      </w:r>
    </w:p>
    <w:p>
      <w:pPr>
        <w:spacing w:after="0" w:line="50"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E-mail attachments from unknown senders should not be downloaded or opened. If a virus is suspected or known to be in a file, the file should not be opened or forwarded. IR Systems Support should be contacted immediately at 240-632-6000 to report the problem.</w:t>
      </w:r>
    </w:p>
    <w:p>
      <w:pPr>
        <w:spacing w:after="0" w:line="4" w:lineRule="exact"/>
        <w:rPr>
          <w:rFonts w:ascii="Arial" w:cs="Arial" w:eastAsia="Arial" w:hAnsi="Arial"/>
          <w:sz w:val="16"/>
          <w:szCs w:val="16"/>
          <w:color w:val="auto"/>
        </w:rPr>
      </w:pPr>
    </w:p>
    <w:p>
      <w:pPr>
        <w:ind w:left="460" w:right="34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Software should not be installed on a MORI computer or network without the express consent of the MORI Technology Management Center (TMC) at 301-380-3407.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Independent Contractor</w:t>
      </w:r>
    </w:p>
    <w:p>
      <w:pPr>
        <w:spacing w:after="0" w:line="9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 am and shall remain a contractor of contracting firm while performing services for MORI. I am not and shall not be deemed to be an employee of MORI or its subsidiaries or affiliates for any purpose, and acknowledge and agree that I am not eligible to participate in any employment benefits plans, policies, or programs of any kind established or administered by MORI, including, among other things, pay, vacation pay, holiday pay, health, dental, or life insurance, profit sharing, stock purchase plans, workers compensation, or other benefits. I waive any right or claim to participate in or receive any benefits from MORI for any time period during which I am a contractor of my contracting firm. My contracting firm will determine and communicate my pay rate to me, as well as any information about benefits to which I may be entitled from my contracting firm. I will receive my paycheck from my contracting firm, not MORI, and I agree that this paycheck may be picked up at or distributed by my contracting firm. Any issues, concerns, or grievances relating to my assignment with MORI should be addressed to my contracting firm. My contracting firm will handle routine personnel matters, such as reference and credit checks. There will be no common personnel records between my contracting firm and MORI. I do not have and shall not have the right to bind MORI by any representation, promise, contract, or other act or omission.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Right or License</w:t>
      </w:r>
    </w:p>
    <w:p>
      <w:pPr>
        <w:spacing w:after="0" w:line="9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Nothing in this acknowledgement will be construed to grant any right or license to me or my contracting firm with respect to data or information disclosed by MORI, or any patent, trademark, copyright, trade secret, or other intellectual property right owned, held or controlled by MORI. As between me, my contracting firm and MORI, all rights (including the right to reproduce, distribute, extract, or disclose to other persons or entities), title, and interest in and to any such data, information and intellectual property belong exclusively to and shall remain exclusively with MORI.</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Work</w:t>
      </w:r>
    </w:p>
    <w:p>
      <w:pPr>
        <w:spacing w:after="0" w:line="90" w:lineRule="exact"/>
        <w:rPr>
          <w:sz w:val="20"/>
          <w:szCs w:val="20"/>
          <w:color w:val="auto"/>
        </w:rPr>
      </w:pPr>
    </w:p>
    <w:p>
      <w:pPr>
        <w:ind w:left="900" w:right="160" w:hanging="446"/>
        <w:spacing w:after="0" w:line="255"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agree that all rights, title and interest (including but not limited to copyright and patent rights) in all work, products (including without limitation marks; computer programs and documentation; photographs; logos; designs; drawings; artistic and graphical works; reports; data; information; and other works of authorship, if any) made by me or my contracting firm, or its suppliers or contractors, as part of performance of services for MORI (all such works hereinafter “Work Products”) will be as set forth in the agreement between my contracting firm and MORI. Both MORI and Contractor will have equal rights in the Work Product.</w:t>
      </w:r>
    </w:p>
    <w:p>
      <w:pPr>
        <w:spacing w:after="0" w:line="61"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Work Products based on MORI confidential information will be the exclusive property of MORI and hereby assign any rights I may have in such Work Products to MORI as necessary to give effect to such agreement. MORI may register, record, and otherwise perfect title to and ownership of all such Work Products in MORI’s own name. I agree to execute such documents, and otherwise provide such assistance, as MORI may reasonably request, at MORI’s expense, to accomplish the purposes of this paragraph. Notwithstanding the above, information or work product based on industry experience or non-confidential MORI information gained prior to the date of this agreement or outside the performance of services for MORI shall be excluded from scope of this paragraph number 2.</w:t>
      </w:r>
    </w:p>
    <w:p>
      <w:pPr>
        <w:spacing w:after="0" w:line="12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By signing the first page of this document I certify that I have read and understand all the information contained in this acknowledgement and that I agree to comply with its provisions. I recognize that if I fail to comply with this Agreement, MORI may terminate its relationship with my contracting firm and me and exercise other legal remedies to protect its rights.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10.27</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Copy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AMENDMENT No. 1</w:t>
      </w:r>
    </w:p>
    <w:p>
      <w:pPr>
        <w:spacing w:after="0" w:line="177"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THIS OMNIBUS AMENDMENT NO. 1, dated January 15, 2013 (this “</w:t>
      </w:r>
      <w:r>
        <w:rPr>
          <w:rFonts w:ascii="Arial" w:cs="Arial" w:eastAsia="Arial" w:hAnsi="Arial"/>
          <w:sz w:val="16"/>
          <w:szCs w:val="16"/>
          <w:u w:val="single" w:color="auto"/>
          <w:color w:val="auto"/>
        </w:rPr>
        <w:t>Amendment</w:t>
      </w:r>
      <w:r>
        <w:rPr>
          <w:rFonts w:ascii="Arial" w:cs="Arial" w:eastAsia="Arial" w:hAnsi="Arial"/>
          <w:sz w:val="16"/>
          <w:szCs w:val="16"/>
          <w:color w:val="auto"/>
        </w:rPr>
        <w:t>”) is entered into by and among the Transaction Parties (defined below) and relates to the following transaction documents (the “</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(1) the Second Amended and Restated Indenture, dated as of September 1, 2012, by and among Marriott Vacations Worldwide Owner Trust 2011-1, as issuer (the “</w:t>
      </w:r>
      <w:r>
        <w:rPr>
          <w:rFonts w:ascii="Arial" w:cs="Arial" w:eastAsia="Arial" w:hAnsi="Arial"/>
          <w:sz w:val="16"/>
          <w:szCs w:val="16"/>
          <w:u w:val="single" w:color="auto"/>
          <w:color w:val="auto"/>
        </w:rPr>
        <w:t>Issuer</w:t>
      </w:r>
      <w:r>
        <w:rPr>
          <w:rFonts w:ascii="Arial" w:cs="Arial" w:eastAsia="Arial" w:hAnsi="Arial"/>
          <w:sz w:val="16"/>
          <w:szCs w:val="16"/>
          <w:color w:val="auto"/>
        </w:rPr>
        <w:t>”), Marriott Ownership Resorts, Inc., as servicer (the “</w:t>
      </w:r>
      <w:r>
        <w:rPr>
          <w:rFonts w:ascii="Arial" w:cs="Arial" w:eastAsia="Arial" w:hAnsi="Arial"/>
          <w:sz w:val="16"/>
          <w:szCs w:val="16"/>
          <w:u w:val="single" w:color="auto"/>
          <w:color w:val="auto"/>
        </w:rPr>
        <w:t>Servicer</w:t>
      </w:r>
      <w:r>
        <w:rPr>
          <w:rFonts w:ascii="Arial" w:cs="Arial" w:eastAsia="Arial" w:hAnsi="Arial"/>
          <w:sz w:val="16"/>
          <w:szCs w:val="16"/>
          <w:color w:val="auto"/>
        </w:rPr>
        <w:t>” or “</w:t>
      </w:r>
      <w:r>
        <w:rPr>
          <w:rFonts w:ascii="Arial" w:cs="Arial" w:eastAsia="Arial" w:hAnsi="Arial"/>
          <w:sz w:val="16"/>
          <w:szCs w:val="16"/>
          <w:u w:val="single" w:color="auto"/>
          <w:color w:val="auto"/>
        </w:rPr>
        <w:t>MORI</w:t>
      </w:r>
      <w:r>
        <w:rPr>
          <w:rFonts w:ascii="Arial" w:cs="Arial" w:eastAsia="Arial" w:hAnsi="Arial"/>
          <w:sz w:val="16"/>
          <w:szCs w:val="16"/>
          <w:color w:val="auto"/>
        </w:rPr>
        <w:t>”), and Wells Fargo Bank, National Association, as indenture trustee (the “</w:t>
      </w:r>
      <w:r>
        <w:rPr>
          <w:rFonts w:ascii="Arial" w:cs="Arial" w:eastAsia="Arial" w:hAnsi="Arial"/>
          <w:sz w:val="16"/>
          <w:szCs w:val="16"/>
          <w:u w:val="single" w:color="auto"/>
          <w:color w:val="auto"/>
        </w:rPr>
        <w:t>Indenture Trustee</w:t>
      </w:r>
      <w:r>
        <w:rPr>
          <w:rFonts w:ascii="Arial" w:cs="Arial" w:eastAsia="Arial" w:hAnsi="Arial"/>
          <w:sz w:val="16"/>
          <w:szCs w:val="16"/>
          <w:color w:val="auto"/>
        </w:rPr>
        <w:t>”) and as back-up servicer (the “</w:t>
      </w:r>
      <w:r>
        <w:rPr>
          <w:rFonts w:ascii="Arial" w:cs="Arial" w:eastAsia="Arial" w:hAnsi="Arial"/>
          <w:sz w:val="16"/>
          <w:szCs w:val="16"/>
          <w:u w:val="single" w:color="auto"/>
          <w:color w:val="auto"/>
        </w:rPr>
        <w:t>Back-Up</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Servicer</w:t>
      </w:r>
      <w:r>
        <w:rPr>
          <w:rFonts w:ascii="Arial" w:cs="Arial" w:eastAsia="Arial" w:hAnsi="Arial"/>
          <w:sz w:val="16"/>
          <w:szCs w:val="16"/>
          <w:color w:val="auto"/>
        </w:rPr>
        <w:t>”) (the “</w:t>
      </w:r>
      <w:r>
        <w:rPr>
          <w:rFonts w:ascii="Arial" w:cs="Arial" w:eastAsia="Arial" w:hAnsi="Arial"/>
          <w:sz w:val="16"/>
          <w:szCs w:val="16"/>
          <w:u w:val="single" w:color="auto"/>
          <w:color w:val="auto"/>
        </w:rPr>
        <w:t>Indenture</w:t>
      </w:r>
      <w:r>
        <w:rPr>
          <w:rFonts w:ascii="Arial" w:cs="Arial" w:eastAsia="Arial" w:hAnsi="Arial"/>
          <w:sz w:val="16"/>
          <w:szCs w:val="16"/>
          <w:color w:val="auto"/>
        </w:rPr>
        <w:t>”); (2) the Amended and Restated Note Purchase Agreement, dated September 11, 2012, by and among the Issuer, the Servicer, MORI SPC Series Corp., as seller (the “</w:t>
      </w:r>
      <w:r>
        <w:rPr>
          <w:rFonts w:ascii="Arial" w:cs="Arial" w:eastAsia="Arial" w:hAnsi="Arial"/>
          <w:sz w:val="16"/>
          <w:szCs w:val="16"/>
          <w:u w:val="single" w:color="auto"/>
          <w:color w:val="auto"/>
        </w:rPr>
        <w:t>Seller</w:t>
      </w:r>
      <w:r>
        <w:rPr>
          <w:rFonts w:ascii="Arial" w:cs="Arial" w:eastAsia="Arial" w:hAnsi="Arial"/>
          <w:sz w:val="16"/>
          <w:szCs w:val="16"/>
          <w:color w:val="auto"/>
        </w:rPr>
        <w:t>”), Marriott Vacation Worldwide Corporation, as performance guarantor (the “</w:t>
      </w:r>
      <w:r>
        <w:rPr>
          <w:rFonts w:ascii="Arial" w:cs="Arial" w:eastAsia="Arial" w:hAnsi="Arial"/>
          <w:sz w:val="16"/>
          <w:szCs w:val="16"/>
          <w:u w:val="single" w:color="auto"/>
          <w:color w:val="auto"/>
        </w:rPr>
        <w:t>Performance Guarantor</w:t>
      </w:r>
      <w:r>
        <w:rPr>
          <w:rFonts w:ascii="Arial" w:cs="Arial" w:eastAsia="Arial" w:hAnsi="Arial"/>
          <w:sz w:val="16"/>
          <w:szCs w:val="16"/>
          <w:color w:val="auto"/>
        </w:rPr>
        <w:t>” or “</w:t>
      </w:r>
      <w:r>
        <w:rPr>
          <w:rFonts w:ascii="Arial" w:cs="Arial" w:eastAsia="Arial" w:hAnsi="Arial"/>
          <w:sz w:val="16"/>
          <w:szCs w:val="16"/>
          <w:u w:val="single" w:color="auto"/>
          <w:color w:val="auto"/>
        </w:rPr>
        <w:t>MVW</w:t>
      </w:r>
      <w:r>
        <w:rPr>
          <w:rFonts w:ascii="Arial" w:cs="Arial" w:eastAsia="Arial" w:hAnsi="Arial"/>
          <w:sz w:val="16"/>
          <w:szCs w:val="16"/>
          <w:color w:val="auto"/>
        </w:rPr>
        <w:t>”), the Purchasers (as defined in the Transaction Documents) and Deutsche Bank AG, New York Branch,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(the “</w:t>
      </w:r>
      <w:r>
        <w:rPr>
          <w:rFonts w:ascii="Arial" w:cs="Arial" w:eastAsia="Arial" w:hAnsi="Arial"/>
          <w:sz w:val="16"/>
          <w:szCs w:val="16"/>
          <w:u w:val="single" w:color="auto"/>
          <w:color w:val="auto"/>
        </w:rPr>
        <w:t>Note Purchase Agreement</w:t>
      </w:r>
      <w:r>
        <w:rPr>
          <w:rFonts w:ascii="Arial" w:cs="Arial" w:eastAsia="Arial" w:hAnsi="Arial"/>
          <w:sz w:val="16"/>
          <w:szCs w:val="16"/>
          <w:color w:val="auto"/>
        </w:rPr>
        <w:t>”); (3) the Amended and Restated Purchase Agreement, dated as of September 1, 2012, by and between MORI and the Seller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(4) the Amended and Restated Sale Agreement, dated as of September 1, 2012, by and between the Seller and the Issuer (the “</w:t>
      </w:r>
      <w:r>
        <w:rPr>
          <w:rFonts w:ascii="Arial" w:cs="Arial" w:eastAsia="Arial" w:hAnsi="Arial"/>
          <w:sz w:val="16"/>
          <w:szCs w:val="16"/>
          <w:u w:val="single" w:color="auto"/>
          <w:color w:val="auto"/>
        </w:rPr>
        <w:t>Sale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(5) the Amended and Restated Performance Guaranty, dated as of September 1, 2012, by and among the Issuer, the Performance Guarantor and the Indenture Trustee (the “</w:t>
      </w:r>
      <w:r>
        <w:rPr>
          <w:rFonts w:ascii="Arial" w:cs="Arial" w:eastAsia="Arial" w:hAnsi="Arial"/>
          <w:sz w:val="16"/>
          <w:szCs w:val="16"/>
          <w:u w:val="single" w:color="auto"/>
          <w:color w:val="auto"/>
        </w:rPr>
        <w:t>Performance Guaranty</w:t>
      </w:r>
      <w:r>
        <w:rPr>
          <w:rFonts w:ascii="Arial" w:cs="Arial" w:eastAsia="Arial" w:hAnsi="Arial"/>
          <w:sz w:val="16"/>
          <w:szCs w:val="16"/>
          <w:color w:val="auto"/>
        </w:rPr>
        <w:t>”); (6) the Custodial Agreement, dated as of September 1, 2011, by and among Wells Fargo Bank, National Association, as custodian (the “</w:t>
      </w:r>
      <w:r>
        <w:rPr>
          <w:rFonts w:ascii="Arial" w:cs="Arial" w:eastAsia="Arial" w:hAnsi="Arial"/>
          <w:sz w:val="16"/>
          <w:szCs w:val="16"/>
          <w:u w:val="single" w:color="auto"/>
          <w:color w:val="auto"/>
        </w:rPr>
        <w:t>Custodian</w:t>
      </w:r>
      <w:r>
        <w:rPr>
          <w:rFonts w:ascii="Arial" w:cs="Arial" w:eastAsia="Arial" w:hAnsi="Arial"/>
          <w:sz w:val="16"/>
          <w:szCs w:val="16"/>
          <w:color w:val="auto"/>
        </w:rPr>
        <w:t>”), the Issuer, the Indenture Trustee and the Servicer (the “</w:t>
      </w:r>
      <w:r>
        <w:rPr>
          <w:rFonts w:ascii="Arial" w:cs="Arial" w:eastAsia="Arial" w:hAnsi="Arial"/>
          <w:sz w:val="16"/>
          <w:szCs w:val="16"/>
          <w:u w:val="single" w:color="auto"/>
          <w:color w:val="auto"/>
        </w:rPr>
        <w:t>Custodial Agreement</w:t>
      </w:r>
      <w:r>
        <w:rPr>
          <w:rFonts w:ascii="Arial" w:cs="Arial" w:eastAsia="Arial" w:hAnsi="Arial"/>
          <w:sz w:val="16"/>
          <w:szCs w:val="16"/>
          <w:color w:val="auto"/>
        </w:rPr>
        <w:t>”); (7) the Administration Agreement, dated as of September 1, 2011, by and among the Issuer, MORI, as administrator (the “</w:t>
      </w:r>
      <w:r>
        <w:rPr>
          <w:rFonts w:ascii="Arial" w:cs="Arial" w:eastAsia="Arial" w:hAnsi="Arial"/>
          <w:sz w:val="16"/>
          <w:szCs w:val="16"/>
          <w:u w:val="single" w:color="auto"/>
          <w:color w:val="auto"/>
        </w:rPr>
        <w:t>Administrator</w:t>
      </w:r>
      <w:r>
        <w:rPr>
          <w:rFonts w:ascii="Arial" w:cs="Arial" w:eastAsia="Arial" w:hAnsi="Arial"/>
          <w:sz w:val="16"/>
          <w:szCs w:val="16"/>
          <w:color w:val="auto"/>
        </w:rPr>
        <w:t>”), the Indenture Trustee and Wilmington Trust, National Association, as owner trustee (the “</w:t>
      </w:r>
      <w:r>
        <w:rPr>
          <w:rFonts w:ascii="Arial" w:cs="Arial" w:eastAsia="Arial" w:hAnsi="Arial"/>
          <w:sz w:val="16"/>
          <w:szCs w:val="16"/>
          <w:u w:val="single" w:color="auto"/>
          <w:color w:val="auto"/>
        </w:rPr>
        <w:t>Owner Trustee</w:t>
      </w:r>
      <w:r>
        <w:rPr>
          <w:rFonts w:ascii="Arial" w:cs="Arial" w:eastAsia="Arial" w:hAnsi="Arial"/>
          <w:sz w:val="16"/>
          <w:szCs w:val="16"/>
          <w:color w:val="auto"/>
        </w:rPr>
        <w:t>”) (the “</w:t>
      </w:r>
      <w:r>
        <w:rPr>
          <w:rFonts w:ascii="Arial" w:cs="Arial" w:eastAsia="Arial" w:hAnsi="Arial"/>
          <w:sz w:val="16"/>
          <w:szCs w:val="16"/>
          <w:u w:val="single" w:color="auto"/>
          <w:color w:val="auto"/>
        </w:rPr>
        <w:t>Administration Agreement</w:t>
      </w:r>
      <w:r>
        <w:rPr>
          <w:rFonts w:ascii="Arial" w:cs="Arial" w:eastAsia="Arial" w:hAnsi="Arial"/>
          <w:sz w:val="16"/>
          <w:szCs w:val="16"/>
          <w:color w:val="auto"/>
        </w:rPr>
        <w:t>”); (8) the Amended and Restated Trust Agreement, dated September 28, 2011, by and between MVCO Series LLC, as owner (the “</w:t>
      </w:r>
      <w:r>
        <w:rPr>
          <w:rFonts w:ascii="Arial" w:cs="Arial" w:eastAsia="Arial" w:hAnsi="Arial"/>
          <w:sz w:val="16"/>
          <w:szCs w:val="16"/>
          <w:u w:val="single" w:color="auto"/>
          <w:color w:val="auto"/>
        </w:rPr>
        <w:t>Owner</w:t>
      </w:r>
      <w:r>
        <w:rPr>
          <w:rFonts w:ascii="Arial" w:cs="Arial" w:eastAsia="Arial" w:hAnsi="Arial"/>
          <w:sz w:val="16"/>
          <w:szCs w:val="16"/>
          <w:color w:val="auto"/>
        </w:rPr>
        <w:t>” and together with the Issuer, MORI, MVW, the Seller, the Performance Guarantor, the Administrative Agent, the Indenture Trustee, the Servicer, the Administrator, the Back-Up Servicer, the Custodian, the Purchasers and the Funding Agents, the “</w:t>
      </w:r>
      <w:r>
        <w:rPr>
          <w:rFonts w:ascii="Arial" w:cs="Arial" w:eastAsia="Arial" w:hAnsi="Arial"/>
          <w:sz w:val="16"/>
          <w:szCs w:val="16"/>
          <w:u w:val="single" w:color="auto"/>
          <w:color w:val="auto"/>
        </w:rPr>
        <w:t>Transaction Parties</w:t>
      </w:r>
      <w:r>
        <w:rPr>
          <w:rFonts w:ascii="Arial" w:cs="Arial" w:eastAsia="Arial" w:hAnsi="Arial"/>
          <w:sz w:val="16"/>
          <w:szCs w:val="16"/>
          <w:color w:val="auto"/>
        </w:rPr>
        <w:t>”) and the Owner Trustee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and (9) any other ancillary documents, agreements, supplements and/or certificates entered into or delivered in connection with the foregoing.</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WHEREAS, the Transaction Parties desire to amend the Second Amended and Restated Standard Definitions attached or incorporated into each of the Transaction Documents (the “</w:t>
      </w:r>
      <w:r>
        <w:rPr>
          <w:rFonts w:ascii="Arial" w:cs="Arial" w:eastAsia="Arial" w:hAnsi="Arial"/>
          <w:sz w:val="16"/>
          <w:szCs w:val="16"/>
          <w:u w:val="single" w:color="auto"/>
          <w:color w:val="auto"/>
        </w:rPr>
        <w:t>Second Amended and Restated Standard Definitions</w:t>
      </w:r>
      <w:r>
        <w:rPr>
          <w:rFonts w:ascii="Arial" w:cs="Arial" w:eastAsia="Arial" w:hAnsi="Arial"/>
          <w:sz w:val="16"/>
          <w:szCs w:val="16"/>
          <w:color w:val="auto"/>
        </w:rPr>
        <w:t>”) in the manner set forth herein.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Transaction Parties desire to amend the Indenture and the Note Purchase Agreement each in the manner set forth herein.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undersigned Purchasers and Funding Agents together constitute 100% of the Purchasers and Funding Agents.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ectPr>
          <w:pgSz w:w="11900" w:h="16838" w:orient="portrait"/>
          <w:cols w:equalWidth="0" w:num="1">
            <w:col w:w="11420"/>
          </w:cols>
          <w:pgMar w:left="240" w:top="125" w:right="239" w:bottom="1440" w:gutter="0" w:footer="0" w:header="0"/>
        </w:sectPr>
      </w:pPr>
    </w:p>
    <w:bookmarkStart w:id="137" w:name="page138"/>
    <w:bookmarkEnd w:id="137"/>
    <w:p>
      <w:pPr>
        <w:ind w:right="6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mutual promises hereinafter set forth, and for other good and adequate consideration, the receipt and sufficiency of which are hereby acknowledged, the Transaction Parties hereby agree as follows:</w:t>
      </w:r>
    </w:p>
    <w:p>
      <w:pPr>
        <w:spacing w:after="0" w:line="248"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5"/>
          <w:szCs w:val="15"/>
          <w:b w:val="1"/>
          <w:bCs w:val="1"/>
          <w:i w:val="1"/>
          <w:iCs w:val="1"/>
          <w:color w:val="auto"/>
        </w:rPr>
        <w:t>Amendment to the Standard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definitions shall replace the corresponding definition in the Second Amended and Restated Standard Definitions: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Funds</w:t>
      </w:r>
      <w:r>
        <w:rPr>
          <w:rFonts w:ascii="Arial" w:cs="Arial" w:eastAsia="Arial" w:hAnsi="Arial"/>
          <w:sz w:val="16"/>
          <w:szCs w:val="16"/>
          <w:color w:val="auto"/>
        </w:rPr>
        <w:t>” shall mean for any Payment Date, (A) all funds on deposit in the Collection Account after making all transfers and deposits required from or by (i) the Servicer pursuant to the Indenture and Servicing Agreement, (ii) the Reserve Account or Hedge Reserve Account pursuant to Section 3.02(b) or Section 3.02(e) of the Indenture and Servicing Agreement, (iii) the Seller or the Issuer pursuant to Section 4.06 of the Indenture and Servicing Agreement, (iv) the Performance Guarantor pursuant to the Performance Guaranty, and (v) a Hedge Counterparty in respect of a Hedge Agreement, less (B) amounts on deposit in the Collection Account related to collections related to any Due Periods subsequent to the Due Period related to such Payment Date.”</w:t>
      </w:r>
    </w:p>
    <w:p>
      <w:pPr>
        <w:spacing w:after="0" w:line="1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shall mean collectively (i)(A) the related ISDA Master Agreement, the related Schedule to the ISDA Master Agreement, and the related Confirmation or (B) a long form confirmation, and (ii) to the extent applicable, pursuant to Section 3.03(b)(v) of the Indenture, an ISDA Credit Support Annex relating thereto.”</w:t>
      </w:r>
    </w:p>
    <w:p>
      <w:pPr>
        <w:spacing w:after="0" w:line="140"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 Rate</w:t>
      </w:r>
      <w:r>
        <w:rPr>
          <w:rFonts w:ascii="Arial" w:cs="Arial" w:eastAsia="Arial" w:hAnsi="Arial"/>
          <w:sz w:val="16"/>
          <w:szCs w:val="16"/>
          <w:color w:val="auto"/>
        </w:rPr>
        <w:t xml:space="preserve">” shall mean, (a) with respect to any Funding Period, the rate per annum (rounded upwards, if necessary, to the nearest 1/100 of 1%) appearing on Bloomberg L.P.’s Page BBAM1/(Official BBA USD Dollar Libor Fixings) (or any successor page) as the London interbank offered rate for deposits in U.S. dollars at approximately 11:00 A.M. (London time) two London Business Days prior to the first day of such Funding Period for a term equal to the length of such Funding Period, as determined in accordance with Section 2.8 of the Note Purchase Agreement or (b) with respect to any day during an Interest Accrual Period, the rate per annum (rounded upwards, if necessary, to the nearest 1/100 of 1%) appearing on Bloomberg L.P.’s Page BBAM1/(Official BBA USD Dollar Libor Fixings) (or any successor page or such other page or service as each Non-Conduit Committed Purchaser shall determine in its sole discretion) as the London interbank offered rate for deposits in U.S. dollars for a term of thirty (30) days at approximately 11:00 A.M. (London time) on such day, or if such day is not a London Business Day on the immediately preceding London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more than one rate is specified on the applicable page or screen, the applicable rate shall be the arithmetic mean of all such rates. If for any reason such rate is not available, the term “LIBOR Rate” shall mean, (a) for any Funding Period, the rate at which deposits in U.S. dollars are offered to the applicable Funding Agent in the London interbank market at approximately 11:00 A.M. (London time) two London Business Days prior to the first day of such Funding Period for a term equal to the length of such Funding Period or (b) for any day during an Interest Accrual Period, the rate at which deposits in U.S. dollars are offered to the applicable Non-Conduit Committed Purchaser in the London interbank market at approximately 11:00 A.M. (London time) on such day, or if such day is not a London Business Day on the immediately preceding London Business Day for a term of thirty (30) days.”</w:t>
      </w:r>
    </w:p>
    <w:p>
      <w:pPr>
        <w:spacing w:after="0" w:line="12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Accounts</w:t>
      </w:r>
      <w:r>
        <w:rPr>
          <w:rFonts w:ascii="Arial" w:cs="Arial" w:eastAsia="Arial" w:hAnsi="Arial"/>
          <w:sz w:val="16"/>
          <w:szCs w:val="16"/>
          <w:color w:val="auto"/>
        </w:rPr>
        <w:t>” shall mean collectively, the Collection Account, the Reserve Account, the Control Accounts, the Hedge Collateral Account, the Hedge Reserve Account and such other accounts established by the Indenture Trustee pursuant to Section 3.01(a) of the Indenture and Servicing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definitions shall be added to the Second Amended and Restated Standard Definitions in the appropriate alphabetical order: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Determination Date</w:t>
      </w:r>
      <w:r>
        <w:rPr>
          <w:rFonts w:ascii="Arial" w:cs="Arial" w:eastAsia="Arial" w:hAnsi="Arial"/>
          <w:sz w:val="18"/>
          <w:szCs w:val="18"/>
          <w:color w:val="auto"/>
        </w:rPr>
        <w:t>” shall mean the date that is 2 Business Days prior to a Determination Date.”</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Reserve Account</w:t>
      </w:r>
      <w:r>
        <w:rPr>
          <w:rFonts w:ascii="Arial" w:cs="Arial" w:eastAsia="Arial" w:hAnsi="Arial"/>
          <w:sz w:val="18"/>
          <w:szCs w:val="18"/>
          <w:color w:val="auto"/>
        </w:rPr>
        <w:t>” shall mean the account established and maintained by the Indenture Trustee pursuant to Section 3.02(e) of the Indenture and Servicing Agreement.”</w:t>
      </w:r>
    </w:p>
    <w:p>
      <w:pPr>
        <w:spacing w:after="0" w:line="132"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Hedge Reserve Option</w:t>
      </w:r>
      <w:r>
        <w:rPr>
          <w:rFonts w:ascii="Arial" w:cs="Arial" w:eastAsia="Arial" w:hAnsi="Arial"/>
          <w:sz w:val="16"/>
          <w:szCs w:val="16"/>
          <w:color w:val="auto"/>
        </w:rPr>
        <w:t>” shall mean the Issuer’s revocable election to deposit Hedge Reserve Amounts to fully or partially fund the Hedge Reserve Account in lieu of providing Hedge Agreements pursuant to Section 3.03(c) of the Indenture and Servicing Agreement.</w:t>
      </w:r>
    </w:p>
    <w:p>
      <w:pPr>
        <w:spacing w:after="0" w:line="8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Reserve Account Required Balance</w:t>
      </w:r>
      <w:r>
        <w:rPr>
          <w:rFonts w:ascii="Arial" w:cs="Arial" w:eastAsia="Arial" w:hAnsi="Arial"/>
          <w:sz w:val="18"/>
          <w:szCs w:val="18"/>
          <w:color w:val="auto"/>
        </w:rPr>
        <w:t>” shall mean for any Funding Date or Hedge Determination Date, the higher of two bids obtained by the Servicer from broker/dealers approved by the Administrative Agent regarding the purchase price of a Hedge Agreement in the form of an interest rate cap that meets the requirements of Section 3.03(b) for a notional amount equal to 95% of the Unhedged Outstanding Note Balance and based on the Hedge Amortization Schedule.”</w:t>
      </w:r>
    </w:p>
    <w:p>
      <w:pPr>
        <w:spacing w:after="0" w:line="14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Reserve Amounts</w:t>
      </w:r>
      <w:r>
        <w:rPr>
          <w:rFonts w:ascii="Arial" w:cs="Arial" w:eastAsia="Arial" w:hAnsi="Arial"/>
          <w:sz w:val="18"/>
          <w:szCs w:val="18"/>
          <w:color w:val="auto"/>
        </w:rPr>
        <w:t>’ shall mean amounts deposited in the Hedge Reserve Account in connection with the exercise by the Issuer of the Hedge Reserve Option.</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Trigger Event</w:t>
      </w:r>
      <w:r>
        <w:rPr>
          <w:rFonts w:ascii="Arial" w:cs="Arial" w:eastAsia="Arial" w:hAnsi="Arial"/>
          <w:sz w:val="18"/>
          <w:szCs w:val="18"/>
          <w:color w:val="auto"/>
        </w:rPr>
        <w:t>” shall exist if (i) on a Hedge Determination Date, (A) the LIBOR Rate is greater than 3.00% or (B) to the extent that the Aggregate Loan Balance exceeds $0.00, the Gross Excess Spread Percentage is less than 7.00%, or (ii) an Amortization Event shall exist, or (iii) the Facility Termination Date shall have occurred.”</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Implied Hedged Amount</w:t>
      </w:r>
      <w:r>
        <w:rPr>
          <w:rFonts w:ascii="Arial" w:cs="Arial" w:eastAsia="Arial" w:hAnsi="Arial"/>
          <w:sz w:val="16"/>
          <w:szCs w:val="16"/>
          <w:color w:val="auto"/>
        </w:rPr>
        <w:t>” shall mean as of any date of determination, the sum of (i) the notional amount of interest rate caps that can be purchased with the amount on deposit in the Hedge Reserve Account divided by 95% and (ii) the notional amount of the Hedge Agreements divided by 90%.”</w:t>
      </w:r>
    </w:p>
    <w:p>
      <w:pPr>
        <w:spacing w:after="0" w:line="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Unhedged Outstanding Note Balance</w:t>
      </w:r>
      <w:r>
        <w:rPr>
          <w:rFonts w:ascii="Arial" w:cs="Arial" w:eastAsia="Arial" w:hAnsi="Arial"/>
          <w:sz w:val="18"/>
          <w:szCs w:val="18"/>
          <w:color w:val="auto"/>
        </w:rPr>
        <w:t>” shall mean for any date of determination, an amount equal to the greater of (A) $0 and (B) (i) the Outstanding Note Balance minus (ii) the notional amount of the Hedge Agreements divided by 90%.”</w:t>
      </w:r>
    </w:p>
    <w:p>
      <w:pPr>
        <w:spacing w:after="0" w:line="248"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5"/>
          <w:szCs w:val="15"/>
          <w:b w:val="1"/>
          <w:bCs w:val="1"/>
          <w:i w:val="1"/>
          <w:iCs w:val="1"/>
          <w:color w:val="auto"/>
        </w:rPr>
        <w:t>Amendment of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3.02(e) of the Indenture shall be amended by deleting the same in its entirety and replacing it with:</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Hedge Reserve Account</w:t>
      </w:r>
      <w:r>
        <w:rPr>
          <w:rFonts w:ascii="Arial" w:cs="Arial" w:eastAsia="Arial" w:hAnsi="Arial"/>
          <w:sz w:val="16"/>
          <w:szCs w:val="16"/>
          <w:color w:val="auto"/>
        </w:rPr>
        <w:t>. The Issuer may exercise at any time an option to fund a hedge reserve account as set forth in this Section 3.02(e) to fully or partially fund its hedging obligations hereunder in lieu of executing Hedge Agreements by providing notice to the Servicer, the Administrative Agent and the Indenture Trustee. The Issuer may also on any Hedge Determination Date, Payment Date or Funding Date, revoke its option to fund a hedge reserve account at any time by sending written notice to the Servicer, the Administrative Agent and the Indenture Trustee; provided that at the time of such full or partial revocation the Implied Hedge Amount is equal to or greater than the Outstanding Note Balance. The Issuer may elect multiple exercises and multiple revocations of its option to fund a hedge reserve account as set forth in this Section 3.02(e). Whenever the Issuer initially elects to exercise the Hedge Reserve Option, the Indenture Trustee shall cause to be established and shall cause to be maintained an account (the “</w:t>
      </w:r>
      <w:r>
        <w:rPr>
          <w:rFonts w:ascii="Arial" w:cs="Arial" w:eastAsia="Arial" w:hAnsi="Arial"/>
          <w:sz w:val="16"/>
          <w:szCs w:val="16"/>
          <w:b w:val="1"/>
          <w:bCs w:val="1"/>
          <w:color w:val="auto"/>
        </w:rPr>
        <w:t>Hedge Reserve Account</w:t>
      </w:r>
      <w:r>
        <w:rPr>
          <w:rFonts w:ascii="Arial" w:cs="Arial" w:eastAsia="Arial" w:hAnsi="Arial"/>
          <w:sz w:val="16"/>
          <w:szCs w:val="16"/>
          <w:color w:val="auto"/>
        </w:rPr>
        <w:t>”) for the benefit of the Noteholders. The Hedge Reserve Account shall be an Eligible Bank Account initially established at the Corporate Trust Office of the Indenture Trustee, bearing the designation “Marriott Vacations Worldwide Owner Trust 2011-1 – Hedge Reserve Account, Wells Fargo Bank, National Association, as Indenture Trustee for the benefit of the Noteholders”. The Indenture Trustee on behalf of the Noteholders shall possess all right, title and interest in all funds on deposit from time to time in the Hedge Reserve Account and in all proceeds thereof. The Hedge Reserve Account shall be under the sole dominion and control of the Indenture Trustee for the benefit of the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9" w:name="page140"/>
    <w:bookmarkEnd w:id="139"/>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Noteholders as their interests appear in the Trust Estate. If, at any time, the Hedge Reserve Account ceases to be an Eligible Bank Account, the Indenture Trustee shall within two Business Days establish a new Hedge Reserve Account which shall be an Eligible Bank Account, transfer any cash and/or any investments to such new Hedge Reserve Account and from the date such new Hedge Reserve Account is established, it shall be the “Hedge Reserve Account.” Amounts on deposit in the Hedge Reserve Account shall be invested in accordance with Section 3.01 hereof. Funding, withdrawals and payments from the Hedge Reserve Account shall be made in the following manner:</w:t>
      </w:r>
    </w:p>
    <w:p>
      <w:pPr>
        <w:spacing w:after="0" w:line="62" w:lineRule="exact"/>
        <w:rPr>
          <w:sz w:val="20"/>
          <w:szCs w:val="20"/>
          <w:color w:val="auto"/>
        </w:rPr>
      </w:pPr>
    </w:p>
    <w:p>
      <w:pPr>
        <w:ind w:left="1940" w:firstLine="387"/>
        <w:spacing w:after="0" w:line="312" w:lineRule="auto"/>
        <w:tabs>
          <w:tab w:leader="none" w:pos="2528" w:val="left"/>
        </w:tabs>
        <w:numPr>
          <w:ilvl w:val="0"/>
          <w:numId w:val="49"/>
        </w:numPr>
        <w:rPr>
          <w:rFonts w:ascii="Arial" w:cs="Arial" w:eastAsia="Arial" w:hAnsi="Arial"/>
          <w:sz w:val="15"/>
          <w:szCs w:val="15"/>
          <w:color w:val="auto"/>
        </w:rPr>
      </w:pPr>
      <w:r>
        <w:rPr>
          <w:rFonts w:ascii="Arial" w:cs="Arial" w:eastAsia="Arial" w:hAnsi="Arial"/>
          <w:sz w:val="15"/>
          <w:szCs w:val="15"/>
          <w:u w:val="single" w:color="auto"/>
          <w:color w:val="auto"/>
        </w:rPr>
        <w:t>Funding</w:t>
      </w:r>
      <w:r>
        <w:rPr>
          <w:rFonts w:ascii="Arial" w:cs="Arial" w:eastAsia="Arial" w:hAnsi="Arial"/>
          <w:sz w:val="15"/>
          <w:szCs w:val="15"/>
          <w:color w:val="auto"/>
        </w:rPr>
        <w:t>. On each Funding Date on which the Issuer has elected to fund the Hedge Reserve Account and has not revoked such election, the Issuer shall deposit or shall cause to be deposited into the Hedge Reserve Account the amount necessary to cause the amount on deposit in the Hedge Reserve Account to be equal to the Hedge Reserve Account Required Balance (after giving effect to the Increase on such Funding Date, existing Hedge Agreements and Hedge Agreements entered into in respect of such Funding Date) and thereafter, on each Payment Date, if the amount on deposit in the Hedge Reserve Account (after giving effect to any deposit of the applicable portion of the proceeds of any Increase on such Payment Date) is less than the Hedge Reserve Account Required Balance, a deposit shall be made to the Hedge Reserve Account, to the extent of Available Funds as provided in Section 3.04 hereof.</w:t>
      </w:r>
    </w:p>
    <w:p>
      <w:pPr>
        <w:spacing w:after="0" w:line="24" w:lineRule="exact"/>
        <w:rPr>
          <w:rFonts w:ascii="Arial" w:cs="Arial" w:eastAsia="Arial" w:hAnsi="Arial"/>
          <w:sz w:val="15"/>
          <w:szCs w:val="15"/>
          <w:color w:val="auto"/>
        </w:rPr>
      </w:pPr>
    </w:p>
    <w:p>
      <w:pPr>
        <w:ind w:left="1940" w:right="20" w:firstLine="387"/>
        <w:spacing w:after="0" w:line="283" w:lineRule="auto"/>
        <w:tabs>
          <w:tab w:leader="none" w:pos="2577"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Hedge Trigger Event</w:t>
      </w:r>
      <w:r>
        <w:rPr>
          <w:rFonts w:ascii="Arial" w:cs="Arial" w:eastAsia="Arial" w:hAnsi="Arial"/>
          <w:sz w:val="16"/>
          <w:szCs w:val="16"/>
          <w:color w:val="auto"/>
        </w:rPr>
        <w:t>. Upon the occurrence of a Hedge Trigger Event, the Issuer shall, no later than 15 calendar days thereafter, purchase or cause to be purchased a Hedge Agreement that meets the requirements of Sections 3.03(b) and such that the Hedge Agreements collectively provide for a notional amount at least equal to, in the aggregate, 90% of the Outstanding Note Balance (after giving effect to the reduction of the Outstanding Note Balance due to the issuance of any Exchange Notes pursuant to</w:t>
      </w:r>
    </w:p>
    <w:p>
      <w:pPr>
        <w:spacing w:after="0" w:line="2" w:lineRule="exact"/>
        <w:rPr>
          <w:rFonts w:ascii="Arial" w:cs="Arial" w:eastAsia="Arial" w:hAnsi="Arial"/>
          <w:sz w:val="16"/>
          <w:szCs w:val="16"/>
          <w:color w:val="auto"/>
        </w:rPr>
      </w:pPr>
    </w:p>
    <w:p>
      <w:pPr>
        <w:ind w:left="1940"/>
        <w:spacing w:after="0" w:line="286" w:lineRule="auto"/>
        <w:rPr>
          <w:rFonts w:ascii="Arial" w:cs="Arial" w:eastAsia="Arial" w:hAnsi="Arial"/>
          <w:sz w:val="16"/>
          <w:szCs w:val="16"/>
          <w:color w:val="auto"/>
        </w:rPr>
      </w:pPr>
      <w:r>
        <w:rPr>
          <w:rFonts w:ascii="Arial" w:cs="Arial" w:eastAsia="Arial" w:hAnsi="Arial"/>
          <w:sz w:val="16"/>
          <w:szCs w:val="16"/>
          <w:color w:val="auto"/>
        </w:rPr>
        <w:t>Section 2.13 hereof on such date). The Indenture Trustee shall, as directed by the Issuer and the Administrative Agent, to the extent of funds available in the Hedge Reserve Account, either (i) pay the applicable Hedge Agreement premium to the related Hedge Counterparty, or (ii) in the event the Issuer provides the Indenture Trustee with evidence that it has already paid such premium, reimburse the Issuer. To the extent there are funds remaining in the Hedge Reserve Account following the payment of such Hedge Agreement premium, the Indenture Trustee shall withdraw such funds from the Hedge Reserve Account and deposit such funds into the Collection Account as Available Funds for the immediately following Payment Date. To the extent that the Issuer fails to purchase or cause to be purchased the Hedge Agreement following a Hedge Trigger Event in the timeframe described above, the Administrative Agent is authorized to obtain such Hedge Agreement on behalf of the Issuer and to direct the Indenture Trustee to withdraw from the Hedge Reserve Account, to the extent of funds available therein, the applicable Hedge Agreement premium and to pay such amount to the related Hedge Counterparty.</w:t>
      </w:r>
    </w:p>
    <w:p>
      <w:pPr>
        <w:spacing w:after="0" w:line="43" w:lineRule="exact"/>
        <w:rPr>
          <w:rFonts w:ascii="Arial" w:cs="Arial" w:eastAsia="Arial" w:hAnsi="Arial"/>
          <w:sz w:val="16"/>
          <w:szCs w:val="16"/>
          <w:color w:val="auto"/>
        </w:rPr>
      </w:pPr>
    </w:p>
    <w:p>
      <w:pPr>
        <w:ind w:left="1940" w:right="20" w:firstLine="387"/>
        <w:spacing w:after="0" w:line="259" w:lineRule="auto"/>
        <w:tabs>
          <w:tab w:leader="none" w:pos="262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Payment in Full</w:t>
      </w:r>
      <w:r>
        <w:rPr>
          <w:rFonts w:ascii="Arial" w:cs="Arial" w:eastAsia="Arial" w:hAnsi="Arial"/>
          <w:sz w:val="18"/>
          <w:szCs w:val="18"/>
          <w:color w:val="auto"/>
        </w:rPr>
        <w:t>. To the extent that on the Payment Date on which the Outstanding Note Balance will be reduced to zero, there are amounts on deposit in the Hedge Reserve Account, the Indenture Trustee shall withdraw all amounts on deposit in the Hedge Reserve Account and shall deposit such amounts into the Collection Account.</w:t>
      </w:r>
    </w:p>
    <w:p>
      <w:pPr>
        <w:spacing w:after="0" w:line="59" w:lineRule="exact"/>
        <w:rPr>
          <w:rFonts w:ascii="Arial" w:cs="Arial" w:eastAsia="Arial" w:hAnsi="Arial"/>
          <w:sz w:val="18"/>
          <w:szCs w:val="18"/>
          <w:color w:val="auto"/>
        </w:rPr>
      </w:pPr>
    </w:p>
    <w:p>
      <w:pPr>
        <w:ind w:left="1940" w:firstLine="387"/>
        <w:spacing w:after="0" w:line="288" w:lineRule="auto"/>
        <w:tabs>
          <w:tab w:leader="none" w:pos="261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Amounts in Excess of Hedge Reserve Account Required Balance</w:t>
      </w:r>
      <w:r>
        <w:rPr>
          <w:rFonts w:ascii="Arial" w:cs="Arial" w:eastAsia="Arial" w:hAnsi="Arial"/>
          <w:sz w:val="16"/>
          <w:szCs w:val="16"/>
          <w:color w:val="auto"/>
        </w:rPr>
        <w:t>. If, on any Payment Date, amounts on deposit in the Hedge Reserve Account are greater than the Hedge Reserve Account Required Balance (after giving effect to all other distributions and disbursements on such Payment Date), the Indenture Trustee shall, based on the Monthly Servicer Report, withdraw funds in excess of the Hedge Reserve Account Required Balance from the Hedge Reserve Account and deposit such funds into the Collection Account as Available Funds on such Payment Date for application in accordance with Section 3.04 hereof. If on any Hedge Determination Date, Funding Date or Payment Date, the Issuer has revoked its election, in whole or in part, to fund the Hedge Reserve Account, provided that the Implied Hedge Amount is equal to or greater than the Outstanding Note Balance and the Issuer has otherwise complied with the Hedge Requirements, amounts on deposit in the Hedge Reserve Account shall be deposited in the Collection Account as Available Funds.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0" w:name="page141"/>
    <w:bookmarkEnd w:id="140"/>
    <w:p>
      <w:pPr>
        <w:ind w:left="1940" w:right="40" w:firstLine="387"/>
        <w:spacing w:after="0" w:line="289" w:lineRule="auto"/>
        <w:tabs>
          <w:tab w:leader="none" w:pos="2567"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Facility Termination Date</w:t>
      </w:r>
      <w:r>
        <w:rPr>
          <w:rFonts w:ascii="Arial" w:cs="Arial" w:eastAsia="Arial" w:hAnsi="Arial"/>
          <w:sz w:val="16"/>
          <w:szCs w:val="16"/>
          <w:color w:val="auto"/>
        </w:rPr>
        <w:t>. On the Payment Date immediately following each Facility Termination Date on which Exchange Notes are being issued by the Issuer pursuant to Section 2.13, the Indenture Trustee acting at the direction of the Servicer, shall withdraw from the Hedge Reserve Account an amount equal to the excess of (i) the amount of cash or other immediately available funds on deposit in the Hedge Reserve Account on such Payment Date over (ii) the amount withdrawn in accordance with the second sentence of Section 3.02(e)(ii) above, and pay such amount, free and clear of the Lien of this Indenture and Servicing Agreement, to the indenture trustee under the related Exchange Notes Indenture, for deposit into the hedge reserve account for such Exchange Notes; or if no hedge reserve account has been established for such Exchange Notes, into the related collection account for distribution in accordance with the indenture for such Exchange Notes.”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3.03 of the Indenture shall be amended by deleting the same in its entirety and replacing it with: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Hedge Agreements and Hedge Reserve Amounts</w:t>
      </w:r>
      <w:r>
        <w:rPr>
          <w:rFonts w:ascii="Arial" w:cs="Arial" w:eastAsia="Arial" w:hAnsi="Arial"/>
          <w:sz w:val="18"/>
          <w:szCs w:val="18"/>
          <w:color w:val="auto"/>
        </w:rPr>
        <w:t>.</w:t>
      </w:r>
    </w:p>
    <w:p>
      <w:pPr>
        <w:spacing w:after="0" w:line="171" w:lineRule="exact"/>
        <w:rPr>
          <w:sz w:val="20"/>
          <w:szCs w:val="20"/>
          <w:color w:val="auto"/>
        </w:rPr>
      </w:pPr>
    </w:p>
    <w:p>
      <w:pPr>
        <w:ind w:right="580" w:firstLine="1492"/>
        <w:spacing w:after="0" w:line="268" w:lineRule="auto"/>
        <w:tabs>
          <w:tab w:leader="none" w:pos="172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Hedge Requirements</w:t>
      </w:r>
      <w:r>
        <w:rPr>
          <w:rFonts w:ascii="Arial" w:cs="Arial" w:eastAsia="Arial" w:hAnsi="Arial"/>
          <w:sz w:val="18"/>
          <w:szCs w:val="18"/>
          <w:color w:val="auto"/>
        </w:rPr>
        <w:t>. The Issuer shall, at all times, so long as the Notes remain unpaid, provide Hedge Agreements and/or Hedge Reserve Amounts in accordance with the terms described in this Section 3.03 (the “</w:t>
      </w:r>
      <w:r>
        <w:rPr>
          <w:rFonts w:ascii="Arial" w:cs="Arial" w:eastAsia="Arial" w:hAnsi="Arial"/>
          <w:sz w:val="18"/>
          <w:szCs w:val="18"/>
          <w:b w:val="1"/>
          <w:bCs w:val="1"/>
          <w:color w:val="auto"/>
        </w:rPr>
        <w:t>Hedge Requirements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left="1740" w:hanging="248"/>
        <w:spacing w:after="0"/>
        <w:tabs>
          <w:tab w:leader="none" w:pos="17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Hedge Agreements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40" w:right="80" w:firstLine="387"/>
        <w:spacing w:after="0" w:line="332" w:lineRule="auto"/>
        <w:tabs>
          <w:tab w:leader="none" w:pos="2528"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Hedge Agreement shall either be in the form of an interest rate cap or an interest rate swap, or a combination thereof, in each case between the Issuer and a Qualified Hedge Counterparty, with an effective date on or prior to a Funding Date.</w:t>
      </w:r>
    </w:p>
    <w:p>
      <w:pPr>
        <w:spacing w:after="0" w:line="4" w:lineRule="exact"/>
        <w:rPr>
          <w:rFonts w:ascii="Arial" w:cs="Arial" w:eastAsia="Arial" w:hAnsi="Arial"/>
          <w:sz w:val="16"/>
          <w:szCs w:val="16"/>
          <w:color w:val="auto"/>
        </w:rPr>
      </w:pPr>
    </w:p>
    <w:p>
      <w:pPr>
        <w:ind w:left="1940" w:firstLine="387"/>
        <w:spacing w:after="0" w:line="291" w:lineRule="auto"/>
        <w:tabs>
          <w:tab w:leader="none" w:pos="2577"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In the case of an interest rate swap, the related Hedge Agreement shall provide for the payment on each Payment Date to the related Hedge Counterparty of interest on the notional amount thereof at a fixed rate per annum and the payment to the Indenture Trustee for deposit into the Collection Account of a floating rate per annum equal to the LIBOR Rate for each Interest Accrual Period; provided that the Issuer and the Hedge Counterparties may, subject to the related Hedge Agreements, make payments on a net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fixed rate per annum paid to a Hedge Counterparty under an interest rate swap shall not exceed the weighted average coupon for the Borrowing Base Loans as of the last day of the related Due Period, less 8.50%.</w:t>
      </w:r>
    </w:p>
    <w:p>
      <w:pPr>
        <w:spacing w:after="0" w:line="39" w:lineRule="exact"/>
        <w:rPr>
          <w:rFonts w:ascii="Arial" w:cs="Arial" w:eastAsia="Arial" w:hAnsi="Arial"/>
          <w:sz w:val="16"/>
          <w:szCs w:val="16"/>
          <w:color w:val="auto"/>
        </w:rPr>
      </w:pPr>
    </w:p>
    <w:p>
      <w:pPr>
        <w:ind w:left="1940" w:right="80" w:firstLine="387"/>
        <w:spacing w:after="0" w:line="259" w:lineRule="auto"/>
        <w:tabs>
          <w:tab w:leader="none" w:pos="26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 the case of an interest rate cap, the related Hedge Agreement shall provide for the payment by the Hedge Counterparty to the Indenture Trustee for deposit into the Collection Account on each Payment Date if the LIBOR Rate is greater than the Required Cap Rate for the related Interest Accrual Period, if any.</w:t>
      </w:r>
    </w:p>
    <w:p>
      <w:pPr>
        <w:spacing w:after="0" w:line="59" w:lineRule="exact"/>
        <w:rPr>
          <w:rFonts w:ascii="Arial" w:cs="Arial" w:eastAsia="Arial" w:hAnsi="Arial"/>
          <w:sz w:val="18"/>
          <w:szCs w:val="18"/>
          <w:color w:val="auto"/>
        </w:rPr>
      </w:pPr>
    </w:p>
    <w:p>
      <w:pPr>
        <w:ind w:left="1940" w:right="240" w:firstLine="387"/>
        <w:spacing w:after="0" w:line="259" w:lineRule="auto"/>
        <w:tabs>
          <w:tab w:leader="none" w:pos="261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confirmation related to the ISDA Master Agreement and schedule thereto or long form confirmation, in each case, in the form of interest rate swaps, shall terminate on the last day that the Notes are assumed to be Outstanding based on the Hedge Amortization Schedules.</w:t>
      </w:r>
    </w:p>
    <w:p>
      <w:pPr>
        <w:spacing w:after="0" w:line="59" w:lineRule="exact"/>
        <w:rPr>
          <w:rFonts w:ascii="Arial" w:cs="Arial" w:eastAsia="Arial" w:hAnsi="Arial"/>
          <w:sz w:val="18"/>
          <w:szCs w:val="18"/>
          <w:color w:val="auto"/>
        </w:rPr>
      </w:pPr>
    </w:p>
    <w:p>
      <w:pPr>
        <w:jc w:val="both"/>
        <w:ind w:left="1940" w:right="40" w:firstLine="387"/>
        <w:spacing w:after="0" w:line="298" w:lineRule="auto"/>
        <w:tabs>
          <w:tab w:leader="none" w:pos="2567"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Hedge Agreement may permit, if the related Hedge Counterparty fails to meet the rating requirements in clause (a) of the definition of Qualified Hedge Counterparty, such related Hedge Counterparty to post collateral to secure its obligations under the related Hedge Agreement. To the extent such Hedge Agreement permits the posting of collateral, such Hedge Agreement shall require the following terms (the “</w:t>
      </w:r>
      <w:r>
        <w:rPr>
          <w:rFonts w:ascii="Arial" w:cs="Arial" w:eastAsia="Arial" w:hAnsi="Arial"/>
          <w:sz w:val="16"/>
          <w:szCs w:val="16"/>
          <w:b w:val="1"/>
          <w:bCs w:val="1"/>
          <w:color w:val="auto"/>
        </w:rPr>
        <w:t>Hedge Agreement Collateral Posting Requirements</w:t>
      </w:r>
      <w:r>
        <w:rPr>
          <w:rFonts w:ascii="Arial" w:cs="Arial" w:eastAsia="Arial" w:hAnsi="Arial"/>
          <w:sz w:val="16"/>
          <w:szCs w:val="16"/>
          <w:color w:val="auto"/>
        </w:rPr>
        <w:t>”):</w:t>
      </w:r>
    </w:p>
    <w:p>
      <w:pPr>
        <w:spacing w:after="0" w:line="31" w:lineRule="exact"/>
        <w:rPr>
          <w:rFonts w:ascii="Arial" w:cs="Arial" w:eastAsia="Arial" w:hAnsi="Arial"/>
          <w:sz w:val="16"/>
          <w:szCs w:val="16"/>
          <w:color w:val="auto"/>
        </w:rPr>
      </w:pPr>
    </w:p>
    <w:p>
      <w:pPr>
        <w:ind w:left="2400" w:right="80" w:firstLine="365"/>
        <w:spacing w:after="0" w:line="259" w:lineRule="auto"/>
        <w:tabs>
          <w:tab w:leader="none" w:pos="3048" w:val="left"/>
        </w:tabs>
        <w:numPr>
          <w:ilvl w:val="2"/>
          <w:numId w:val="51"/>
        </w:numPr>
        <w:rPr>
          <w:rFonts w:ascii="Arial" w:cs="Arial" w:eastAsia="Arial" w:hAnsi="Arial"/>
          <w:sz w:val="18"/>
          <w:szCs w:val="18"/>
          <w:color w:val="auto"/>
        </w:rPr>
      </w:pPr>
      <w:r>
        <w:rPr>
          <w:rFonts w:ascii="Arial" w:cs="Arial" w:eastAsia="Arial" w:hAnsi="Arial"/>
          <w:sz w:val="18"/>
          <w:szCs w:val="18"/>
          <w:color w:val="auto"/>
        </w:rPr>
        <w:t>the Hedge Counterparty shall, within 15 days’ of failing to meet such rating requirement, secure its obligations under the related Hedge Agreement, by posting collateral to the Indenture Trustee for deposit into the Hedge Collateral Account in an amount equal to the Hedge Collateral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41" w:name="page142"/>
    <w:bookmarkEnd w:id="141"/>
    <w:p>
      <w:pPr>
        <w:ind w:left="2400" w:firstLine="365"/>
        <w:spacing w:after="0" w:line="259" w:lineRule="auto"/>
        <w:tabs>
          <w:tab w:leader="none" w:pos="3038"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Hedge Counterparty shall, at least on a weekly basis, mark-to-market the related Hedge Agreement (pursuant to the terms thereof) and post additional collateral, as necessary such that the amount on deposit in the Hedge Collateral Account is at least equal to the Hedge Collateral Amount; and</w:t>
      </w:r>
    </w:p>
    <w:p>
      <w:pPr>
        <w:spacing w:after="0" w:line="53" w:lineRule="exact"/>
        <w:rPr>
          <w:rFonts w:ascii="Arial" w:cs="Arial" w:eastAsia="Arial" w:hAnsi="Arial"/>
          <w:sz w:val="18"/>
          <w:szCs w:val="18"/>
          <w:color w:val="auto"/>
        </w:rPr>
      </w:pPr>
    </w:p>
    <w:p>
      <w:pPr>
        <w:ind w:left="2400" w:right="220" w:firstLine="365"/>
        <w:spacing w:after="0" w:line="338" w:lineRule="auto"/>
        <w:tabs>
          <w:tab w:leader="none" w:pos="3038" w:val="left"/>
        </w:tabs>
        <w:numPr>
          <w:ilvl w:val="1"/>
          <w:numId w:val="5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Collateral Amount</w:t>
      </w:r>
      <w:r>
        <w:rPr>
          <w:rFonts w:ascii="Arial" w:cs="Arial" w:eastAsia="Arial" w:hAnsi="Arial"/>
          <w:sz w:val="16"/>
          <w:szCs w:val="16"/>
          <w:color w:val="auto"/>
        </w:rPr>
        <w:t>” shall mean with respect to a Hedge Counterparty that has been downgraded below the rating requirements in clause (a) of the definition of Qualified Hedge Counterparty, the following:</w:t>
      </w:r>
    </w:p>
    <w:p>
      <w:pPr>
        <w:ind w:left="2380" w:right="100" w:hanging="441"/>
        <w:spacing w:after="0" w:line="259" w:lineRule="auto"/>
        <w:tabs>
          <w:tab w:leader="none" w:pos="2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Hedge Counterparty has a long-term unsecured debt rating of below “A” from S&amp;P or a short-term unsecured debt rating below “A-1” from S&amp;P but has a long-term unsecured debt rating of at least BBB+ from S&amp;P, the Hedge Collateral Amount shall be calculated using the following formula: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Max[0, MtM]</w:t>
      </w:r>
    </w:p>
    <w:p>
      <w:pPr>
        <w:spacing w:after="0" w:line="90" w:lineRule="exact"/>
        <w:rPr>
          <w:sz w:val="20"/>
          <w:szCs w:val="20"/>
          <w:color w:val="auto"/>
        </w:rPr>
      </w:pPr>
    </w:p>
    <w:p>
      <w:pPr>
        <w:ind w:left="2380" w:right="240" w:hanging="441"/>
        <w:spacing w:after="0" w:line="259" w:lineRule="auto"/>
        <w:tabs>
          <w:tab w:leader="none" w:pos="23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Hedge Counterparty has a long-term unsecured debt rating of below “BBB+” from S&amp;P or a short-term unsecured debt rating below “A-2” from S&amp;P but has a long-term unsecured debt rating of at least BBB- from S&amp;P, the Hedge Collateral Amount shall be calculated using the following formula: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Max[0, MtM + (4% * notional amount of Hedge Agreement)]</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“MtM” = Mark-to-market value of the Hedge Agreement. For the avoidance of doubt, the Mark-to-market value shall be expressed as a negative number if the Issuer is net out-of-the-money with respect to the Hedge Agreement and as a positive number if the Issuer is net in-the-money with respect to the Hedge Agreement.</w:t>
      </w:r>
    </w:p>
    <w:p>
      <w:pPr>
        <w:spacing w:after="0" w:line="140" w:lineRule="exact"/>
        <w:rPr>
          <w:sz w:val="20"/>
          <w:szCs w:val="20"/>
          <w:color w:val="auto"/>
        </w:rPr>
      </w:pPr>
    </w:p>
    <w:p>
      <w:pPr>
        <w:ind w:right="180" w:firstLine="921"/>
        <w:spacing w:after="0" w:line="255" w:lineRule="auto"/>
        <w:tabs>
          <w:tab w:leader="none" w:pos="12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Immediately upon receipt, the Indenture Trustee shall deposit all amounts received in respect of the Hedge Agreements into the Collection Account (other than amounts in respect of the Hedge Agreement Collateral Posting Requirements, which shall be deposited into the Hedge Collateral Account). Other than amendments or modifications to effect the adjustments to the notional amount of the Hedge Agreements required by this Section 3.03, any consents, directions or approvals of amendments or modifications to a Hedge Agreement required to be given by the Indenture Trustee under the Hedge Agreement will require the direction of the Required Facility Investors.</w:t>
      </w:r>
    </w:p>
    <w:p>
      <w:pPr>
        <w:spacing w:after="0" w:line="142" w:lineRule="exact"/>
        <w:rPr>
          <w:rFonts w:ascii="Arial" w:cs="Arial" w:eastAsia="Arial" w:hAnsi="Arial"/>
          <w:sz w:val="18"/>
          <w:szCs w:val="18"/>
          <w:color w:val="auto"/>
        </w:rPr>
      </w:pPr>
    </w:p>
    <w:p>
      <w:pPr>
        <w:ind w:right="40" w:firstLine="921"/>
        <w:spacing w:after="0" w:line="268" w:lineRule="auto"/>
        <w:tabs>
          <w:tab w:leader="none" w:pos="1259"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notice or knowledge of any Hedge Event of Default or Termination Event, any party hereto shall provide notice to the other parties hereto and the Hedge Counterparty.</w:t>
      </w:r>
    </w:p>
    <w:p>
      <w:pPr>
        <w:spacing w:after="0" w:line="131" w:lineRule="exact"/>
        <w:rPr>
          <w:rFonts w:ascii="Arial" w:cs="Arial" w:eastAsia="Arial" w:hAnsi="Arial"/>
          <w:sz w:val="18"/>
          <w:szCs w:val="18"/>
          <w:color w:val="auto"/>
        </w:rPr>
      </w:pPr>
    </w:p>
    <w:p>
      <w:pPr>
        <w:ind w:right="100" w:firstLine="921"/>
        <w:spacing w:after="0" w:line="290" w:lineRule="auto"/>
        <w:tabs>
          <w:tab w:leader="none" w:pos="1308"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Issuer agrees that if any Hedge Counterparty ceases to be a Qualified Hedge Counterparty, unless 100% of the Purchasers agree that such Hedge Counterparty shall continue, the Issuer shall have five (5) Business Days (x) to cause such Hedge Counterparty to assign its obligations under the related Hedge Agreement to a new Qualified Hedge Counterparty (or such Hedge Counterparty shall have five (5) Business Days to again become a Qualified Hedge Counterparty), (y) to obtain a guarantor (with such form of guarantee meeting S&amp;P’s then current criteria) that meets the definition of Qualified Hedge Counterparty, or (z) to obtain a substitute Hedge Agreement, together with the related Qualified Hedge Counterparty’s acknowledgement of the pledge by the Issuer to the Indenture Trustee of the Issuer’s rights under such Hedge Agreement provided, that the Issuer shall not terminate ineligible Hedge Agreements until the related substitute Hedge Agreements are effective.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42" w:name="page143"/>
    <w:bookmarkEnd w:id="142"/>
    <w:p>
      <w:pPr>
        <w:ind w:right="60" w:firstLine="921"/>
        <w:spacing w:after="0" w:line="298" w:lineRule="auto"/>
        <w:tabs>
          <w:tab w:leader="none" w:pos="1210" w:val="left"/>
        </w:tabs>
        <w:numPr>
          <w:ilvl w:val="1"/>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Three Business Days prior to (1) each Funding Date, and (2) each Hedge Determination Date, the Servicer, on behalf of the Issuer shall, provide to the Administrative Agent a timeshare loan data file with sufficient information so that, if required, the Administrative Agent may prepare the Hedge Amortization Schedule. Subject to the timely delivery of information by the Servicer, with respect to each Funding Date and each Hedge Determination Date, the Administrative Agent shall provide the Issuer and the Servicer with the Hedge Amortization Schedule no later than two (2) Business Days thereafter.</w:t>
      </w:r>
    </w:p>
    <w:p>
      <w:pPr>
        <w:spacing w:after="0" w:line="112" w:lineRule="exact"/>
        <w:rPr>
          <w:rFonts w:ascii="Arial" w:cs="Arial" w:eastAsia="Arial" w:hAnsi="Arial"/>
          <w:sz w:val="16"/>
          <w:szCs w:val="16"/>
          <w:color w:val="auto"/>
        </w:rPr>
      </w:pPr>
    </w:p>
    <w:p>
      <w:pPr>
        <w:ind w:right="80" w:firstLine="921"/>
        <w:spacing w:after="0" w:line="254" w:lineRule="auto"/>
        <w:tabs>
          <w:tab w:leader="none" w:pos="1162" w:val="left"/>
        </w:tabs>
        <w:numPr>
          <w:ilvl w:val="1"/>
          <w:numId w:val="56"/>
        </w:numPr>
        <w:rPr>
          <w:rFonts w:ascii="Arial" w:cs="Arial" w:eastAsia="Arial" w:hAnsi="Arial"/>
          <w:sz w:val="18"/>
          <w:szCs w:val="18"/>
          <w:color w:val="auto"/>
        </w:rPr>
      </w:pPr>
      <w:r>
        <w:rPr>
          <w:rFonts w:ascii="Arial" w:cs="Arial" w:eastAsia="Arial" w:hAnsi="Arial"/>
          <w:sz w:val="18"/>
          <w:szCs w:val="18"/>
          <w:color w:val="auto"/>
        </w:rPr>
        <w:t>Subject to the limitation on Hedge Agreements in the form of interest rate swaps set forth in Section 3.03(b)(xii), without affecting the Issuer’s obligations under Section 3.03(b)(viii), the parties hereto agree that the Hedge Requirements do not obligate the Issuer to cause the Hedge Counterparty to terminate, assign or collateralize its Hedge Agreement as a result of such Hedge Counterparty no longer satisfying the definition of Qualified Hedge Counterparty, and, consequently, the Issuer may be party to multiple Hedge Agreements and/or interest rate swaps or interest rate caps with counterparties which are Qualified Hedge Counterparties as well as counterparties that are not Qualified Hedge Counterparties, all collectively having an aggregate notional amount in excess of 100% of the Outstanding Note Balance.</w:t>
      </w:r>
    </w:p>
    <w:p>
      <w:pPr>
        <w:spacing w:after="0" w:line="144" w:lineRule="exact"/>
        <w:rPr>
          <w:rFonts w:ascii="Arial" w:cs="Arial" w:eastAsia="Arial" w:hAnsi="Arial"/>
          <w:sz w:val="18"/>
          <w:szCs w:val="18"/>
          <w:color w:val="auto"/>
        </w:rPr>
      </w:pPr>
    </w:p>
    <w:p>
      <w:pPr>
        <w:jc w:val="both"/>
        <w:ind w:right="140" w:firstLine="921"/>
        <w:spacing w:after="0" w:line="259" w:lineRule="auto"/>
        <w:tabs>
          <w:tab w:leader="none" w:pos="1210" w:val="left"/>
        </w:tabs>
        <w:numPr>
          <w:ilvl w:val="1"/>
          <w:numId w:val="56"/>
        </w:numPr>
        <w:rPr>
          <w:rFonts w:ascii="Arial" w:cs="Arial" w:eastAsia="Arial" w:hAnsi="Arial"/>
          <w:sz w:val="18"/>
          <w:szCs w:val="18"/>
          <w:color w:val="auto"/>
        </w:rPr>
      </w:pPr>
      <w:r>
        <w:rPr>
          <w:rFonts w:ascii="Arial" w:cs="Arial" w:eastAsia="Arial" w:hAnsi="Arial"/>
          <w:sz w:val="18"/>
          <w:szCs w:val="18"/>
          <w:color w:val="auto"/>
        </w:rPr>
        <w:t>In the event the Issuer shall execute a Securitization Take-Out Transaction, whereby all of the Outstanding Note Balance of the Notes is repaid, it shall terminate all confirmations related to the ISDA Master Agreement and schedules thereto or long form confirmations, in each case, in the form of interest rate swaps.</w:t>
      </w:r>
    </w:p>
    <w:p>
      <w:pPr>
        <w:spacing w:after="0" w:line="140" w:lineRule="exact"/>
        <w:rPr>
          <w:rFonts w:ascii="Arial" w:cs="Arial" w:eastAsia="Arial" w:hAnsi="Arial"/>
          <w:sz w:val="18"/>
          <w:szCs w:val="18"/>
          <w:color w:val="auto"/>
        </w:rPr>
      </w:pPr>
    </w:p>
    <w:p>
      <w:pPr>
        <w:ind w:left="1260" w:hanging="339"/>
        <w:spacing w:after="0"/>
        <w:tabs>
          <w:tab w:leader="none" w:pos="126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notional amount of Hedge Agreements in the form of interest rate swaps may not exceed 105% of Outstanding Note Balance.</w:t>
      </w:r>
    </w:p>
    <w:p>
      <w:pPr>
        <w:spacing w:after="0" w:line="194" w:lineRule="exact"/>
        <w:rPr>
          <w:rFonts w:ascii="Arial" w:cs="Arial" w:eastAsia="Arial" w:hAnsi="Arial"/>
          <w:sz w:val="16"/>
          <w:szCs w:val="16"/>
          <w:color w:val="auto"/>
        </w:rPr>
      </w:pPr>
    </w:p>
    <w:p>
      <w:pPr>
        <w:ind w:firstLine="464"/>
        <w:spacing w:after="0" w:line="259"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Hedge Reserve Option and Hedge Reserve Amounts</w:t>
      </w:r>
      <w:r>
        <w:rPr>
          <w:rFonts w:ascii="Arial" w:cs="Arial" w:eastAsia="Arial" w:hAnsi="Arial"/>
          <w:sz w:val="18"/>
          <w:szCs w:val="18"/>
          <w:color w:val="auto"/>
        </w:rPr>
        <w:t>. So long as no Hedge Trigger Event has occurred, in lieu of providing Hedge Agreements, the Issuer may, upon prior written notice to the Administrative Agent, elect to exercise the Hedge Reserve Option and to deposit Hedge Reserve Amounts equal to the Hedge Reserve Account Required Balance in the Hedge Reserve Account.</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Notional Amounts and Adjustments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40" w:right="200" w:firstLine="387"/>
        <w:spacing w:after="0" w:line="332" w:lineRule="auto"/>
        <w:tabs>
          <w:tab w:leader="none" w:pos="2528" w:val="left"/>
        </w:tabs>
        <w:numPr>
          <w:ilvl w:val="2"/>
          <w:numId w:val="57"/>
        </w:numPr>
        <w:rPr>
          <w:rFonts w:ascii="Arial" w:cs="Arial" w:eastAsia="Arial" w:hAnsi="Arial"/>
          <w:sz w:val="16"/>
          <w:szCs w:val="16"/>
          <w:color w:val="auto"/>
        </w:rPr>
      </w:pPr>
      <w:r>
        <w:rPr>
          <w:rFonts w:ascii="Arial" w:cs="Arial" w:eastAsia="Arial" w:hAnsi="Arial"/>
          <w:sz w:val="16"/>
          <w:szCs w:val="16"/>
          <w:color w:val="auto"/>
        </w:rPr>
        <w:t>the Issuer shall, on each Hedge Determination Date, ensure that collectively, the Hedge Agreements and the Hedge Reserve Amounts cause the Implied Hedged Amount to be equal to or greater than the Outstanding Note Balance;</w:t>
      </w:r>
    </w:p>
    <w:p>
      <w:pPr>
        <w:spacing w:after="0" w:line="4" w:lineRule="exact"/>
        <w:rPr>
          <w:rFonts w:ascii="Arial" w:cs="Arial" w:eastAsia="Arial" w:hAnsi="Arial"/>
          <w:sz w:val="16"/>
          <w:szCs w:val="16"/>
          <w:color w:val="auto"/>
        </w:rPr>
      </w:pPr>
    </w:p>
    <w:p>
      <w:pPr>
        <w:ind w:left="1940" w:right="100" w:firstLine="387"/>
        <w:spacing w:after="0" w:line="259" w:lineRule="auto"/>
        <w:tabs>
          <w:tab w:leader="none" w:pos="2577"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Issuer shall, as of each Funding Date, cause the notional amount of the Hedge Agreements to be adjusted, enter into new Hedge Agreements and/or make additional deposits to the Hedge Reserve Account such that the Implied Hedged Amount shall be equal to or greater than the Outstanding Note Balance;</w:t>
      </w:r>
    </w:p>
    <w:p>
      <w:pPr>
        <w:spacing w:after="0" w:line="59" w:lineRule="exact"/>
        <w:rPr>
          <w:rFonts w:ascii="Arial" w:cs="Arial" w:eastAsia="Arial" w:hAnsi="Arial"/>
          <w:sz w:val="18"/>
          <w:szCs w:val="18"/>
          <w:color w:val="auto"/>
        </w:rPr>
      </w:pPr>
    </w:p>
    <w:p>
      <w:pPr>
        <w:jc w:val="both"/>
        <w:ind w:left="1940" w:right="20" w:firstLine="387"/>
        <w:spacing w:after="0" w:line="256" w:lineRule="auto"/>
        <w:tabs>
          <w:tab w:leader="none" w:pos="2626"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Issuer shall, on each Funding Date, adjust (A) the Hedge Agreements to reflect the Required Cap Rate (in the case of a Hedge Agreement in the form of an interest rate cap) if such Hedge Agreements provides for a cap rate which is below the Required Cap Rate; and (B) the termination date of the Hedge Agreements in accordance with the Hedge Amortization Schedule following such Funding Date; and</w:t>
      </w:r>
    </w:p>
    <w:p>
      <w:pPr>
        <w:spacing w:after="0" w:line="62" w:lineRule="exact"/>
        <w:rPr>
          <w:rFonts w:ascii="Arial" w:cs="Arial" w:eastAsia="Arial" w:hAnsi="Arial"/>
          <w:sz w:val="18"/>
          <w:szCs w:val="18"/>
          <w:color w:val="auto"/>
        </w:rPr>
      </w:pPr>
    </w:p>
    <w:p>
      <w:pPr>
        <w:jc w:val="both"/>
        <w:ind w:left="1940" w:right="740" w:firstLine="387"/>
        <w:spacing w:after="0" w:line="306" w:lineRule="auto"/>
        <w:tabs>
          <w:tab w:leader="none" w:pos="2616" w:val="left"/>
        </w:tabs>
        <w:numPr>
          <w:ilvl w:val="2"/>
          <w:numId w:val="57"/>
        </w:numPr>
        <w:rPr>
          <w:rFonts w:ascii="Arial" w:cs="Arial" w:eastAsia="Arial" w:hAnsi="Arial"/>
          <w:sz w:val="16"/>
          <w:szCs w:val="16"/>
          <w:color w:val="auto"/>
        </w:rPr>
      </w:pPr>
      <w:r>
        <w:rPr>
          <w:rFonts w:ascii="Arial" w:cs="Arial" w:eastAsia="Arial" w:hAnsi="Arial"/>
          <w:sz w:val="16"/>
          <w:szCs w:val="16"/>
          <w:color w:val="auto"/>
        </w:rPr>
        <w:t>on any Funding Date, (A) any Hedge Reserve Amounts to be deposited to the Hedge Reserve Account and (B) any additional premium, termination payment or other out-of-pocket costs and expenses relating to the adjustments to the Hedge Agreements, or new Hedge Agreements shall be funded by the Issuer from the proceeds of the related Increase.”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3.04 of the Indenture shall be amended by deleting the same in its entirety and replacing it with: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Distributions</w:t>
      </w:r>
      <w:r>
        <w:rPr>
          <w:rFonts w:ascii="Arial" w:cs="Arial" w:eastAsia="Arial" w:hAnsi="Arial"/>
          <w:sz w:val="18"/>
          <w:szCs w:val="18"/>
          <w:color w:val="auto"/>
        </w:rPr>
        <w:t>.</w:t>
      </w:r>
    </w:p>
    <w:p>
      <w:pPr>
        <w:spacing w:after="0" w:line="171" w:lineRule="exact"/>
        <w:rPr>
          <w:sz w:val="20"/>
          <w:szCs w:val="20"/>
          <w:color w:val="auto"/>
        </w:rPr>
      </w:pPr>
    </w:p>
    <w:p>
      <w:pPr>
        <w:ind w:firstLine="1484"/>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Priority of Distributions</w:t>
      </w:r>
      <w:r>
        <w:rPr>
          <w:rFonts w:ascii="Arial" w:cs="Arial" w:eastAsia="Arial" w:hAnsi="Arial"/>
          <w:sz w:val="18"/>
          <w:szCs w:val="18"/>
          <w:color w:val="auto"/>
        </w:rPr>
        <w:t>. So long as no Acceleration Event has occurred and is continuing, to the extent of Available Funds on deposit in the Collection Account (including any Reserve Account Draw Amount deposited therein), on each Payment Date the Indenture Trustee shall, based on the Monthly Servicer Report, make the following disbursements and distributions to the following parties no later than 11:00 A.M. (New York City time), in the following order of priority:</w:t>
      </w:r>
    </w:p>
    <w:p>
      <w:pPr>
        <w:spacing w:after="0" w:line="62" w:lineRule="exact"/>
        <w:rPr>
          <w:sz w:val="20"/>
          <w:szCs w:val="20"/>
          <w:color w:val="auto"/>
        </w:rPr>
      </w:pPr>
    </w:p>
    <w:p>
      <w:pPr>
        <w:ind w:left="1940" w:right="120" w:firstLine="387"/>
        <w:spacing w:after="0" w:line="294" w:lineRule="auto"/>
        <w:tabs>
          <w:tab w:leader="none" w:pos="2528"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Indenture Trustee, the Indenture Trustee Fee, plus any accrued and unpaid Indenture Trustee Fees with respect to prior Payment Dates, and Indenture Trustee Expenses and Custodial Fees incurred and charged by the Indenture Trustee during the related Due Period; provided that payments to the Indenture Trustee as reimbursement for any expenses will be limited to $25,000 per calendar year (up to a cumulative total of $250,000) as long as no Event of Default has occurred, and the Notes have not been accelerated, or the Trust Estate sold, pursuant to this Indenture and Servicing Agreement;</w:t>
      </w:r>
    </w:p>
    <w:p>
      <w:pPr>
        <w:spacing w:after="0" w:line="34" w:lineRule="exact"/>
        <w:rPr>
          <w:rFonts w:ascii="Arial" w:cs="Arial" w:eastAsia="Arial" w:hAnsi="Arial"/>
          <w:sz w:val="16"/>
          <w:szCs w:val="16"/>
          <w:color w:val="auto"/>
        </w:rPr>
      </w:pPr>
    </w:p>
    <w:p>
      <w:pPr>
        <w:ind w:left="1940" w:right="200" w:firstLine="387"/>
        <w:spacing w:after="0" w:line="259" w:lineRule="auto"/>
        <w:tabs>
          <w:tab w:leader="none" w:pos="2577"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the Back-Up Servicer, the Back-Up Servicing Fee, plus any accrued and unpaid Back-Up Servicing Fees with respect to prior Payment Dates and any Transition Expenses incurred during the related Due Period (up to an aggregate cumulative total of $340,000);</w:t>
      </w:r>
    </w:p>
    <w:p>
      <w:pPr>
        <w:spacing w:after="0" w:line="59" w:lineRule="exact"/>
        <w:rPr>
          <w:rFonts w:ascii="Arial" w:cs="Arial" w:eastAsia="Arial" w:hAnsi="Arial"/>
          <w:sz w:val="18"/>
          <w:szCs w:val="18"/>
          <w:color w:val="auto"/>
        </w:rPr>
      </w:pPr>
    </w:p>
    <w:p>
      <w:pPr>
        <w:ind w:left="1940" w:right="380" w:firstLine="387"/>
        <w:spacing w:after="0" w:line="323" w:lineRule="auto"/>
        <w:tabs>
          <w:tab w:leader="none" w:pos="2626" w:val="left"/>
        </w:tabs>
        <w:numPr>
          <w:ilvl w:val="0"/>
          <w:numId w:val="58"/>
        </w:numPr>
        <w:rPr>
          <w:rFonts w:ascii="Arial" w:cs="Arial" w:eastAsia="Arial" w:hAnsi="Arial"/>
          <w:sz w:val="15"/>
          <w:szCs w:val="15"/>
          <w:color w:val="auto"/>
        </w:rPr>
      </w:pPr>
      <w:r>
        <w:rPr>
          <w:rFonts w:ascii="Arial" w:cs="Arial" w:eastAsia="Arial" w:hAnsi="Arial"/>
          <w:sz w:val="15"/>
          <w:szCs w:val="15"/>
          <w:color w:val="auto"/>
        </w:rPr>
        <w:t>on the Payment Date occurring in January of each year only, to the Owner Trustee, the Owner Trustee Fee, and on each Payment Date, expenses incurred by the Owner Trustee; provided that payments to the Owner Trustee as reimbursement for any expenses will be limited to $10,000 per calendar year (up to a cumulative total of $100,000) as long as no Event of Default has occurred, and the Notes have not been accelerated, or the Trust Estate sold, pursuant to this Indenture and Servicing Agreement;</w:t>
      </w:r>
    </w:p>
    <w:p>
      <w:pPr>
        <w:spacing w:after="0" w:line="16" w:lineRule="exact"/>
        <w:rPr>
          <w:rFonts w:ascii="Arial" w:cs="Arial" w:eastAsia="Arial" w:hAnsi="Arial"/>
          <w:sz w:val="15"/>
          <w:szCs w:val="15"/>
          <w:color w:val="auto"/>
        </w:rPr>
      </w:pPr>
    </w:p>
    <w:p>
      <w:pPr>
        <w:jc w:val="both"/>
        <w:ind w:left="1940" w:right="80" w:firstLine="387"/>
        <w:spacing w:after="0" w:line="298" w:lineRule="auto"/>
        <w:tabs>
          <w:tab w:leader="none" w:pos="2616" w:val="left"/>
        </w:tabs>
        <w:numPr>
          <w:ilvl w:val="0"/>
          <w:numId w:val="58"/>
        </w:numPr>
        <w:rPr>
          <w:rFonts w:ascii="Arial" w:cs="Arial" w:eastAsia="Arial" w:hAnsi="Arial"/>
          <w:sz w:val="16"/>
          <w:szCs w:val="16"/>
          <w:color w:val="auto"/>
        </w:rPr>
      </w:pPr>
      <w:r>
        <w:rPr>
          <w:rFonts w:ascii="Arial" w:cs="Arial" w:eastAsia="Arial" w:hAnsi="Arial"/>
          <w:sz w:val="16"/>
          <w:szCs w:val="16"/>
          <w:color w:val="auto"/>
        </w:rPr>
        <w:t>on the Payment Date occurring in January of each year only, to the Administrator, the Administrator Fee, and on each Payment Date, expenses incurred by the Administrator; provided that payments to the Administrator as reimbursement for any expenses will be limited to $5,000 per calendar year (up to a cumulative total of $30,000 as long as no Event of Default has occurred, and the Notes have not been accelerated, or the Trust Estate sold, pursuant to this Indenture and Servicing Agreement;</w:t>
      </w:r>
    </w:p>
    <w:p>
      <w:pPr>
        <w:spacing w:after="0" w:line="31" w:lineRule="exact"/>
        <w:rPr>
          <w:rFonts w:ascii="Arial" w:cs="Arial" w:eastAsia="Arial" w:hAnsi="Arial"/>
          <w:sz w:val="16"/>
          <w:szCs w:val="16"/>
          <w:color w:val="auto"/>
        </w:rPr>
      </w:pPr>
    </w:p>
    <w:p>
      <w:pPr>
        <w:ind w:left="2580" w:hanging="253"/>
        <w:spacing w:after="0"/>
        <w:tabs>
          <w:tab w:leader="none" w:pos="25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Servicer, the Servicing Fee, plus any accrued and unpaid Servicing Fees with respect to prior Payment Dates;</w:t>
      </w:r>
    </w:p>
    <w:p>
      <w:pPr>
        <w:spacing w:after="0" w:line="113" w:lineRule="exact"/>
        <w:rPr>
          <w:rFonts w:ascii="Arial" w:cs="Arial" w:eastAsia="Arial" w:hAnsi="Arial"/>
          <w:sz w:val="16"/>
          <w:szCs w:val="16"/>
          <w:color w:val="auto"/>
        </w:rPr>
      </w:pPr>
    </w:p>
    <w:p>
      <w:pPr>
        <w:ind w:left="2620" w:hanging="293"/>
        <w:spacing w:after="0"/>
        <w:tabs>
          <w:tab w:leader="none" w:pos="2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each Hedge Counterparty, its Net Hedge Payment, if any;</w:t>
      </w:r>
    </w:p>
    <w:p>
      <w:pPr>
        <w:spacing w:after="0" w:line="90" w:lineRule="exact"/>
        <w:rPr>
          <w:rFonts w:ascii="Arial" w:cs="Arial" w:eastAsia="Arial" w:hAnsi="Arial"/>
          <w:sz w:val="18"/>
          <w:szCs w:val="18"/>
          <w:color w:val="auto"/>
        </w:rPr>
      </w:pPr>
    </w:p>
    <w:p>
      <w:pPr>
        <w:ind w:left="1940" w:right="220" w:firstLine="387"/>
        <w:spacing w:after="0" w:line="268" w:lineRule="auto"/>
        <w:tabs>
          <w:tab w:leader="none" w:pos="26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the Administrative Agent, the Administrative Agent Fee, plus any accrued and unpaid Administrative Agent Fees with respect to prior Payment Dates;</w:t>
      </w:r>
    </w:p>
    <w:p>
      <w:pPr>
        <w:spacing w:after="0" w:line="50" w:lineRule="exact"/>
        <w:rPr>
          <w:rFonts w:ascii="Arial" w:cs="Arial" w:eastAsia="Arial" w:hAnsi="Arial"/>
          <w:sz w:val="18"/>
          <w:szCs w:val="18"/>
          <w:color w:val="auto"/>
        </w:rPr>
      </w:pPr>
    </w:p>
    <w:p>
      <w:pPr>
        <w:ind w:left="2720" w:hanging="393"/>
        <w:spacing w:after="0"/>
        <w:tabs>
          <w:tab w:leader="none" w:pos="27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Noteholders, the Interest Distribution Amount and any unpaid Interest Distribution Amounts from prior Payment</w:t>
      </w:r>
    </w:p>
    <w:p>
      <w:pPr>
        <w:spacing w:after="0" w:line="38" w:lineRule="exact"/>
        <w:rPr>
          <w:rFonts w:ascii="Arial" w:cs="Arial" w:eastAsia="Arial" w:hAnsi="Arial"/>
          <w:sz w:val="16"/>
          <w:szCs w:val="16"/>
          <w:color w:val="auto"/>
        </w:rPr>
      </w:pPr>
    </w:p>
    <w:p>
      <w:pPr>
        <w:ind w:left="1940"/>
        <w:spacing w:after="0"/>
        <w:rPr>
          <w:rFonts w:ascii="Arial" w:cs="Arial" w:eastAsia="Arial" w:hAnsi="Arial"/>
          <w:sz w:val="16"/>
          <w:szCs w:val="16"/>
          <w:color w:val="auto"/>
        </w:rPr>
      </w:pPr>
      <w:r>
        <w:rPr>
          <w:rFonts w:ascii="Arial" w:cs="Arial" w:eastAsia="Arial" w:hAnsi="Arial"/>
          <w:sz w:val="18"/>
          <w:szCs w:val="18"/>
          <w:color w:val="auto"/>
        </w:rPr>
        <w:t>Dates;</w:t>
      </w:r>
    </w:p>
    <w:p>
      <w:pPr>
        <w:spacing w:after="0" w:line="83" w:lineRule="exact"/>
        <w:rPr>
          <w:rFonts w:ascii="Arial" w:cs="Arial" w:eastAsia="Arial" w:hAnsi="Arial"/>
          <w:sz w:val="16"/>
          <w:szCs w:val="16"/>
          <w:color w:val="auto"/>
        </w:rPr>
      </w:pPr>
    </w:p>
    <w:p>
      <w:pPr>
        <w:jc w:val="both"/>
        <w:ind w:left="1940" w:right="140" w:firstLine="387"/>
        <w:spacing w:after="0" w:line="306" w:lineRule="auto"/>
        <w:tabs>
          <w:tab w:leader="none" w:pos="261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to the Noteholders, the related Unused Fees and any NPA Costs (other than the portion thereof related to clause (iii) of the definition of Breakage and Other Costs), plus any accrued and unpaid Unused Fees and/or NPA Costs (other than the portion thereof related to clause (iii) of the definition of Breakage and Other Costs) from prior Payment Dates;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144" w:name="page145"/>
    <w:bookmarkEnd w:id="144"/>
    <w:p>
      <w:pPr>
        <w:jc w:val="both"/>
        <w:ind w:left="1940" w:right="20" w:firstLine="387"/>
        <w:spacing w:after="0" w:line="259" w:lineRule="auto"/>
        <w:tabs>
          <w:tab w:leader="none" w:pos="2567" w:val="left"/>
        </w:tabs>
        <w:numPr>
          <w:ilvl w:val="1"/>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a pari passu basis (A) to the Noteholders, the Principal Distribution Amount and (B) other than if the Hedge Counterparty is the “Defaulting Party” or the sole “Affected Party” (as such terms are defined in the Hedge Agreement), to the Hedge Counterparty, the Hedge Termination Payment, if any;</w:t>
      </w:r>
    </w:p>
    <w:p>
      <w:pPr>
        <w:spacing w:after="0" w:line="59" w:lineRule="exact"/>
        <w:rPr>
          <w:rFonts w:ascii="Arial" w:cs="Arial" w:eastAsia="Arial" w:hAnsi="Arial"/>
          <w:sz w:val="18"/>
          <w:szCs w:val="18"/>
          <w:color w:val="auto"/>
        </w:rPr>
      </w:pPr>
    </w:p>
    <w:p>
      <w:pPr>
        <w:ind w:left="2620" w:hanging="293"/>
        <w:spacing w:after="0"/>
        <w:tabs>
          <w:tab w:leader="none" w:pos="26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Noteholders, the Usage Step-Up Fees and any unpaid Usage Step-Up Fees from prior Payment Dates;</w:t>
      </w:r>
    </w:p>
    <w:p>
      <w:pPr>
        <w:spacing w:after="0" w:line="90" w:lineRule="exact"/>
        <w:rPr>
          <w:rFonts w:ascii="Arial" w:cs="Arial" w:eastAsia="Arial" w:hAnsi="Arial"/>
          <w:sz w:val="18"/>
          <w:szCs w:val="18"/>
          <w:color w:val="auto"/>
        </w:rPr>
      </w:pPr>
    </w:p>
    <w:p>
      <w:pPr>
        <w:ind w:left="2680" w:hanging="353"/>
        <w:spacing w:after="0"/>
        <w:tabs>
          <w:tab w:leader="none" w:pos="2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Noteholders, any NPA Costs not paid in accordance with (ix) above;</w:t>
      </w:r>
    </w:p>
    <w:p>
      <w:pPr>
        <w:spacing w:after="0" w:line="90" w:lineRule="exact"/>
        <w:rPr>
          <w:rFonts w:ascii="Arial" w:cs="Arial" w:eastAsia="Arial" w:hAnsi="Arial"/>
          <w:sz w:val="18"/>
          <w:szCs w:val="18"/>
          <w:color w:val="auto"/>
        </w:rPr>
      </w:pPr>
    </w:p>
    <w:p>
      <w:pPr>
        <w:ind w:left="1940" w:right="560" w:firstLine="387"/>
        <w:spacing w:after="0" w:line="332" w:lineRule="auto"/>
        <w:tabs>
          <w:tab w:leader="none" w:pos="2714" w:val="left"/>
        </w:tabs>
        <w:numPr>
          <w:ilvl w:val="1"/>
          <w:numId w:val="59"/>
        </w:numPr>
        <w:rPr>
          <w:rFonts w:ascii="Arial" w:cs="Arial" w:eastAsia="Arial" w:hAnsi="Arial"/>
          <w:sz w:val="16"/>
          <w:szCs w:val="16"/>
          <w:color w:val="auto"/>
        </w:rPr>
      </w:pPr>
      <w:r>
        <w:rPr>
          <w:rFonts w:ascii="Arial" w:cs="Arial" w:eastAsia="Arial" w:hAnsi="Arial"/>
          <w:sz w:val="16"/>
          <w:szCs w:val="16"/>
          <w:color w:val="auto"/>
        </w:rPr>
        <w:t>after the occurrence and continuance of an Amortization Event, or on and after the Facility Termination Date, to the Noteholders, all remaining Available Funds until the Outstanding Note Balance is reduced to zero;</w:t>
      </w:r>
    </w:p>
    <w:p>
      <w:pPr>
        <w:spacing w:after="0" w:line="4" w:lineRule="exact"/>
        <w:rPr>
          <w:rFonts w:ascii="Arial" w:cs="Arial" w:eastAsia="Arial" w:hAnsi="Arial"/>
          <w:sz w:val="16"/>
          <w:szCs w:val="16"/>
          <w:color w:val="auto"/>
        </w:rPr>
      </w:pPr>
    </w:p>
    <w:p>
      <w:pPr>
        <w:ind w:left="1940" w:right="280" w:firstLine="387"/>
        <w:spacing w:after="0" w:line="268" w:lineRule="auto"/>
        <w:tabs>
          <w:tab w:leader="none" w:pos="27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Hedge Reserve Account, all remaining amounts until the amounts on deposit in the Hedge Reserve Account shall equal the Hedge Reserve Account Required Balance;</w:t>
      </w:r>
    </w:p>
    <w:p>
      <w:pPr>
        <w:spacing w:after="0" w:line="50" w:lineRule="exact"/>
        <w:rPr>
          <w:rFonts w:ascii="Arial" w:cs="Arial" w:eastAsia="Arial" w:hAnsi="Arial"/>
          <w:sz w:val="18"/>
          <w:szCs w:val="18"/>
          <w:color w:val="auto"/>
        </w:rPr>
      </w:pPr>
    </w:p>
    <w:p>
      <w:pPr>
        <w:ind w:left="1940" w:right="40" w:firstLine="387"/>
        <w:spacing w:after="0" w:line="268" w:lineRule="auto"/>
        <w:tabs>
          <w:tab w:leader="none" w:pos="26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Reserve Account, all remaining amounts until the amounts on deposit in the Reserve Account shall equal the Reserve Account Required Balance;</w:t>
      </w:r>
    </w:p>
    <w:p>
      <w:pPr>
        <w:spacing w:after="0" w:line="50" w:lineRule="exact"/>
        <w:rPr>
          <w:rFonts w:ascii="Arial" w:cs="Arial" w:eastAsia="Arial" w:hAnsi="Arial"/>
          <w:sz w:val="18"/>
          <w:szCs w:val="18"/>
          <w:color w:val="auto"/>
        </w:rPr>
      </w:pPr>
    </w:p>
    <w:p>
      <w:pPr>
        <w:ind w:left="1940" w:right="680" w:firstLine="387"/>
        <w:spacing w:after="0" w:line="268" w:lineRule="auto"/>
        <w:tabs>
          <w:tab w:leader="none" w:pos="27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Hedge Counterparty, any Hedge Termination Payment required under the Hedge Agreement and not paid in accordance with clause (x) above;</w:t>
      </w:r>
    </w:p>
    <w:p>
      <w:pPr>
        <w:spacing w:after="0" w:line="50" w:lineRule="exact"/>
        <w:rPr>
          <w:rFonts w:ascii="Arial" w:cs="Arial" w:eastAsia="Arial" w:hAnsi="Arial"/>
          <w:sz w:val="18"/>
          <w:szCs w:val="18"/>
          <w:color w:val="auto"/>
        </w:rPr>
      </w:pPr>
    </w:p>
    <w:p>
      <w:pPr>
        <w:ind w:left="2760" w:hanging="433"/>
        <w:spacing w:after="0"/>
        <w:tabs>
          <w:tab w:leader="none" w:pos="276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to the Indenture Trustee, Custodian and Back-Up Servicer any expenses not paid in accordance with (i) and (ii) above;</w:t>
      </w:r>
    </w:p>
    <w:p>
      <w:pPr>
        <w:spacing w:after="0" w:line="113" w:lineRule="exact"/>
        <w:rPr>
          <w:rFonts w:ascii="Arial" w:cs="Arial" w:eastAsia="Arial" w:hAnsi="Arial"/>
          <w:sz w:val="16"/>
          <w:szCs w:val="16"/>
          <w:color w:val="auto"/>
        </w:rPr>
      </w:pPr>
    </w:p>
    <w:p>
      <w:pPr>
        <w:ind w:left="2800" w:hanging="473"/>
        <w:spacing w:after="0"/>
        <w:tabs>
          <w:tab w:leader="none" w:pos="28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Owner Trustee, any expenses not paid in accordance with (iii) above;</w:t>
      </w:r>
    </w:p>
    <w:p>
      <w:pPr>
        <w:spacing w:after="0" w:line="90" w:lineRule="exact"/>
        <w:rPr>
          <w:rFonts w:ascii="Arial" w:cs="Arial" w:eastAsia="Arial" w:hAnsi="Arial"/>
          <w:sz w:val="18"/>
          <w:szCs w:val="18"/>
          <w:color w:val="auto"/>
        </w:rPr>
      </w:pPr>
    </w:p>
    <w:p>
      <w:pPr>
        <w:ind w:left="2720" w:hanging="393"/>
        <w:spacing w:after="0"/>
        <w:tabs>
          <w:tab w:leader="none" w:pos="2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Administrator, any expenses not paid in accordance with (iv) above; and</w:t>
      </w:r>
    </w:p>
    <w:p>
      <w:pPr>
        <w:spacing w:after="0" w:line="90" w:lineRule="exact"/>
        <w:rPr>
          <w:rFonts w:ascii="Arial" w:cs="Arial" w:eastAsia="Arial" w:hAnsi="Arial"/>
          <w:sz w:val="18"/>
          <w:szCs w:val="18"/>
          <w:color w:val="auto"/>
        </w:rPr>
      </w:pPr>
    </w:p>
    <w:p>
      <w:pPr>
        <w:ind w:left="1940" w:right="180" w:firstLine="387"/>
        <w:spacing w:after="0" w:line="268" w:lineRule="auto"/>
        <w:tabs>
          <w:tab w:leader="none" w:pos="2655"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Owner Trustee for distribution to the owners of the beneficial interests in the Issuer, any remaining Available Funds on deposit in the Collection Account.</w:t>
      </w:r>
    </w:p>
    <w:p>
      <w:pPr>
        <w:spacing w:after="0" w:line="131" w:lineRule="exact"/>
        <w:rPr>
          <w:rFonts w:ascii="Arial" w:cs="Arial" w:eastAsia="Arial" w:hAnsi="Arial"/>
          <w:sz w:val="18"/>
          <w:szCs w:val="18"/>
          <w:color w:val="auto"/>
        </w:rPr>
      </w:pPr>
    </w:p>
    <w:p>
      <w:pPr>
        <w:ind w:right="500" w:firstLine="1492"/>
        <w:spacing w:after="0" w:line="268" w:lineRule="auto"/>
        <w:tabs>
          <w:tab w:leader="none" w:pos="173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Acceleration Event</w:t>
      </w:r>
      <w:r>
        <w:rPr>
          <w:rFonts w:ascii="Arial" w:cs="Arial" w:eastAsia="Arial" w:hAnsi="Arial"/>
          <w:sz w:val="18"/>
          <w:szCs w:val="18"/>
          <w:color w:val="auto"/>
        </w:rPr>
        <w:t>. If an Acceleration Event shall have occurred and be continuing, distributions shall be made in the manner and priority set forth in Section 6.06 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5.03(a)(xvii) of the Indenture shall be amended by deleting the same in its entirety and replacing it with:</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“(xvii) (1) on behalf of the Issuer, monitor the Hedge Agreements and any amounts on deposit in the Hedge Reserve Account and to prepare such data and information as may be required by the Issuer, from time to time, to determine whether the Hedge Requirements are being satisfied, (2) to the extent the Hedge Reserve Option is exercised and not revoked, provide data and information to the Administrative Agent three (3) Business Days prior to each Hedge Determination Date and in the Monthly Servicer Report regarding amounts on deposit in the Hedge Reserve Account and the Hedge Trigger Events and (3) to the extent the Hedge Reserve Option is exercised, on each Funding Date and on each Hedge Determination Date (x) obtain two bids from broker/dealers approved by the Administrative Agent regarding the purchase price of a Hedge Agreement in the form of an interest rate cap that meets the requirements of Section 3.03(b) for a notional amount equal to 95% of the Unhedged Outstanding Note Balance and is based on the Hedge Amortization Schedule and (y) provide the bids to the Issuer and the Administrative Agent.”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6.01(k) of the Indenture shall be amended by deleting the same in its entirety and replacing it with:</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“(k) the failure to maintain Hedge Agreements and/or Hedge Reserve Amounts satisfying the Hedge Requirements or any Hedge Counterparty ceases to be a Qualified Hedge Counterparty and such failure continues for five (5) Business Days; or”</w:t>
      </w:r>
    </w:p>
    <w:p>
      <w:pPr>
        <w:spacing w:after="0" w:line="248"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5"/>
          <w:szCs w:val="15"/>
          <w:b w:val="1"/>
          <w:bCs w:val="1"/>
          <w:i w:val="1"/>
          <w:iCs w:val="1"/>
          <w:color w:val="auto"/>
        </w:rPr>
        <w:t>Amendment of the Note Purchase Agreement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2.02(a)(ix) of the Note Purchase Agreement shall be amended by deleting the same in its entirety and replacing it with:</w:t>
      </w:r>
    </w:p>
    <w:p>
      <w:pPr>
        <w:spacing w:after="0" w:line="171" w:lineRule="exact"/>
        <w:rPr>
          <w:sz w:val="20"/>
          <w:szCs w:val="20"/>
          <w:color w:val="auto"/>
        </w:rPr>
      </w:pPr>
    </w:p>
    <w:p>
      <w:pPr>
        <w:jc w:val="both"/>
        <w:ind w:right="220" w:firstLine="456"/>
        <w:spacing w:after="0" w:line="335" w:lineRule="auto"/>
        <w:rPr>
          <w:sz w:val="20"/>
          <w:szCs w:val="20"/>
          <w:color w:val="auto"/>
        </w:rPr>
      </w:pPr>
      <w:r>
        <w:rPr>
          <w:rFonts w:ascii="Arial" w:cs="Arial" w:eastAsia="Arial" w:hAnsi="Arial"/>
          <w:sz w:val="15"/>
          <w:szCs w:val="15"/>
          <w:color w:val="auto"/>
        </w:rPr>
        <w:t>“(ix) with respect to any Funding Date, (A) the Hedge Agreements shall have been adjusted, new Hedge Agreements shall have been entered into and/or additional deposits to the Hedge Reserve Account shall have been made such that the Implied Hedged Amount is equal to or greater than the Outstanding Note Balance after giving effect to such Increase and (B) the Hedge Amortization Schedule shall have been adjusted in accordance with the Hedge Requirements;”</w:t>
      </w:r>
    </w:p>
    <w:p>
      <w:pPr>
        <w:spacing w:after="0" w:line="204"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i w:val="1"/>
          <w:iCs w:val="1"/>
          <w:color w:val="auto"/>
        </w:rPr>
        <w:t>Representations and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MVW, MORI, the Seller and the Issuer hereby represent and warrant to each of the other Transaction Parties that, after giving effect to this Amendment:</w:t>
      </w:r>
    </w:p>
    <w:p>
      <w:pPr>
        <w:spacing w:after="0" w:line="38" w:lineRule="exact"/>
        <w:rPr>
          <w:sz w:val="20"/>
          <w:szCs w:val="20"/>
          <w:color w:val="auto"/>
        </w:rPr>
      </w:pPr>
    </w:p>
    <w:p>
      <w:pPr>
        <w:ind w:right="20" w:firstLine="8"/>
        <w:spacing w:after="0" w:line="287" w:lineRule="auto"/>
        <w:tabs>
          <w:tab w:leader="none" w:pos="239"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representations and warranties set forth in each of the Transaction Documents by each of MVW, MORI, the Seller and the Issuer are true and correct in all material respects on and as of the date hereof, with the same effect as though made on and as of such date (except to the extent that any representation and warranty expressly relates to an earlier date, then such earlier date), (b) on the date hereof, no Default has occurred and is continuing, and (c) the execution, delivery and performance of this Amendment in accordance with its terms and the consummation of the transactions contemplated hereby by any of them do not and will not (i) require any consent or approval of any Person, except for consents and approvals that have already been obtained, (ii) violate any applicable law, or (iii) contravene, conflict with, result in a breach of, or constitute a default under their organization documents, as the same may have been amended or restated, or contravene, conflict with, result in a breach of or constitute a default under (with or without notice or lapse of time or both) any indenture, agreement or other instrument, to which such entity is a party or by which it or any of its properties or assets may be bound.</w:t>
      </w:r>
    </w:p>
    <w:p>
      <w:pPr>
        <w:spacing w:after="0" w:line="240"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5"/>
          <w:szCs w:val="15"/>
          <w:b w:val="1"/>
          <w:bCs w:val="1"/>
          <w:i w:val="1"/>
          <w:iCs w:val="1"/>
          <w:color w:val="auto"/>
        </w:rPr>
        <w:t>References in all Transaction Documents.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To the extent any Transaction Document contains a provision that conflicts with the intent of this Amendment, the parties agree that the provisions herein shall govern.</w:t>
      </w:r>
    </w:p>
    <w:p>
      <w:pPr>
        <w:spacing w:after="0" w:line="248"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5"/>
          <w:szCs w:val="15"/>
          <w:b w:val="1"/>
          <w:bCs w:val="1"/>
          <w:i w:val="1"/>
          <w:iCs w:val="1"/>
          <w:color w:val="auto"/>
        </w:rPr>
        <w:t>Counterparts</w:t>
      </w:r>
      <w:r>
        <w:rPr>
          <w:rFonts w:ascii="Arial" w:cs="Arial" w:eastAsia="Arial" w:hAnsi="Arial"/>
          <w:sz w:val="15"/>
          <w:szCs w:val="15"/>
          <w:b w:val="1"/>
          <w:bCs w:val="1"/>
          <w:color w:val="auto"/>
        </w:rPr>
        <w: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may be executed (by facsimile or otherwise) in any number of counterparts, each of which counterparts shall be deemed to be an original, and such counterparts shall constitute but one and the same instrument.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46" w:name="page147"/>
    <w:bookmarkEnd w:id="146"/>
    <w:p>
      <w:pPr>
        <w:ind w:left="460"/>
        <w:spacing w:after="0"/>
        <w:tabs>
          <w:tab w:leader="none" w:pos="1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2.04.</w:t>
      </w:r>
      <w:r>
        <w:rPr>
          <w:sz w:val="20"/>
          <w:szCs w:val="20"/>
          <w:color w:val="auto"/>
        </w:rPr>
        <w:tab/>
      </w:r>
      <w:r>
        <w:rPr>
          <w:rFonts w:ascii="Arial" w:cs="Arial" w:eastAsia="Arial" w:hAnsi="Arial"/>
          <w:sz w:val="15"/>
          <w:szCs w:val="15"/>
          <w:b w:val="1"/>
          <w:bCs w:val="1"/>
          <w:i w:val="1"/>
          <w:iCs w:val="1"/>
          <w:color w:val="auto"/>
        </w:rPr>
        <w:t>Governing Law.</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AMENDMENT SHALL BE CONSTRUED IN ACCORDANCE WITH AND GOVERNED BY THE SUBSTANTIVE LAWS OF THE STATE OF NEW YORK APPLICABLE TO AGREEMENTS MADE AND TO BE PERFORMED IN THE STATE OF NEW YORK AND THE OBLIGATIONS, RIGHTS AND REMEDIES OF THE TRANSACTION PARTIES SHALL BE DETERMINED IN ACCORDANCE WITH SUCH LAWS.</w:t>
      </w:r>
    </w:p>
    <w:p>
      <w:pPr>
        <w:spacing w:after="0" w:line="222"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5"/>
          <w:szCs w:val="15"/>
          <w:b w:val="1"/>
          <w:bCs w:val="1"/>
          <w:i w:val="1"/>
          <w:iCs w:val="1"/>
          <w:color w:val="auto"/>
        </w:rPr>
        <w:t>Severability of Provisions.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one or more of the covenants, agreements, provisions or terms of this Amendment shall be for any reason whatsoever held invalid, then such covenants, agreements, provisions or terms shall be deemed severable from the remaining covenants, agreements, provisions or terms of this Amendment and shall in no way affect the validity or enforceability of the other provisions of this Amendment.</w:t>
      </w:r>
    </w:p>
    <w:p>
      <w:pPr>
        <w:spacing w:after="0" w:line="256"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2.06.</w:t>
      </w:r>
      <w:r>
        <w:rPr>
          <w:sz w:val="20"/>
          <w:szCs w:val="20"/>
          <w:color w:val="auto"/>
        </w:rPr>
        <w:tab/>
      </w:r>
      <w:r>
        <w:rPr>
          <w:rFonts w:ascii="Arial" w:cs="Arial" w:eastAsia="Arial" w:hAnsi="Arial"/>
          <w:sz w:val="15"/>
          <w:szCs w:val="15"/>
          <w:b w:val="1"/>
          <w:bCs w:val="1"/>
          <w:i w:val="1"/>
          <w:iCs w:val="1"/>
          <w:color w:val="auto"/>
        </w:rPr>
        <w:t>Continuing Effect.</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expressly amended hereby, each Transaction Document shall continue in full force and effect in accordance with the provisions thereof and each Transaction Document is in all respects hereby ratified, confirmed and preserved.</w:t>
      </w:r>
    </w:p>
    <w:p>
      <w:pPr>
        <w:spacing w:after="0" w:line="248" w:lineRule="exact"/>
        <w:rPr>
          <w:sz w:val="20"/>
          <w:szCs w:val="20"/>
          <w:color w:val="auto"/>
        </w:rPr>
      </w:pPr>
    </w:p>
    <w:p>
      <w:pPr>
        <w:ind w:left="460"/>
        <w:spacing w:after="0"/>
        <w:tabs>
          <w:tab w:leader="none" w:pos="1900" w:val="left"/>
        </w:tabs>
        <w:rPr>
          <w:sz w:val="20"/>
          <w:szCs w:val="20"/>
          <w:color w:val="auto"/>
        </w:rPr>
      </w:pPr>
      <w:r>
        <w:rPr>
          <w:rFonts w:ascii="Arial" w:cs="Arial" w:eastAsia="Arial" w:hAnsi="Arial"/>
          <w:sz w:val="18"/>
          <w:szCs w:val="18"/>
          <w:b w:val="1"/>
          <w:bCs w:val="1"/>
          <w:color w:val="auto"/>
        </w:rPr>
        <w:t>Section 2.07.</w:t>
      </w:r>
      <w:r>
        <w:rPr>
          <w:sz w:val="20"/>
          <w:szCs w:val="20"/>
          <w:color w:val="auto"/>
        </w:rPr>
        <w:tab/>
      </w:r>
      <w:r>
        <w:rPr>
          <w:rFonts w:ascii="Arial" w:cs="Arial" w:eastAsia="Arial" w:hAnsi="Arial"/>
          <w:sz w:val="14"/>
          <w:szCs w:val="14"/>
          <w:b w:val="1"/>
          <w:bCs w:val="1"/>
          <w:i w:val="1"/>
          <w:iCs w:val="1"/>
          <w:color w:val="auto"/>
        </w:rPr>
        <w:t>Successors and Assigns.</w:t>
      </w:r>
    </w:p>
    <w:p>
      <w:pPr>
        <w:spacing w:after="0" w:line="96" w:lineRule="exact"/>
        <w:rPr>
          <w:sz w:val="20"/>
          <w:szCs w:val="20"/>
          <w:color w:val="auto"/>
        </w:rPr>
      </w:pPr>
    </w:p>
    <w:p>
      <w:pPr>
        <w:jc w:val="center"/>
        <w:ind w:right="300"/>
        <w:spacing w:after="0" w:line="430" w:lineRule="auto"/>
        <w:rPr>
          <w:sz w:val="20"/>
          <w:szCs w:val="20"/>
          <w:color w:val="auto"/>
        </w:rPr>
      </w:pPr>
      <w:r>
        <w:rPr>
          <w:rFonts w:ascii="Arial" w:cs="Arial" w:eastAsia="Arial" w:hAnsi="Arial"/>
          <w:sz w:val="18"/>
          <w:szCs w:val="18"/>
          <w:color w:val="auto"/>
        </w:rPr>
        <w:t>This Amendment shall be binding upon and inure to the benefit of the Transaction Parties and their respective successors and permitted assigns. [Signature pages follow]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KL2 2780484.5</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147" w:name="page148"/>
    <w:bookmarkEnd w:id="147"/>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below have caused this Amendment to be duly executed by their respective duly authorized officers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MARRIOTT VACATIONS WORLDWIDE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OWNER TRUST 2011-1, as Issuer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Wilmington Trust, National Association,</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not individually, but solely in its capacity as</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Owner Trustee</w:t>
      </w:r>
    </w:p>
    <w:p>
      <w:pPr>
        <w:spacing w:after="0" w:line="219" w:lineRule="exact"/>
        <w:rPr>
          <w:sz w:val="20"/>
          <w:szCs w:val="20"/>
          <w:color w:val="auto"/>
        </w:rPr>
      </w:pPr>
    </w:p>
    <w:p>
      <w:pPr>
        <w:ind w:left="7200"/>
        <w:spacing w:after="0"/>
        <w:tabs>
          <w:tab w:leader="none" w:pos="7640" w:val="left"/>
        </w:tabs>
        <w:rPr>
          <w:sz w:val="20"/>
          <w:szCs w:val="20"/>
          <w:color w:val="auto"/>
        </w:rPr>
      </w:pPr>
      <w:r>
        <w:rPr>
          <w:rFonts w:ascii="Arial" w:cs="Arial" w:eastAsia="Arial" w:hAnsi="Arial"/>
          <w:sz w:val="18"/>
          <w:szCs w:val="18"/>
          <w:color w:val="auto"/>
        </w:rPr>
        <w:t>By:</w:t>
        <w:tab/>
        <w:t>/s/ Dante M. Monakil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10795</wp:posOffset>
            </wp:positionV>
            <wp:extent cx="23926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Name: Dante M. Monakil</w:t>
      </w:r>
    </w:p>
    <w:p>
      <w:pPr>
        <w:spacing w:after="0" w:line="15" w:lineRule="exact"/>
        <w:rPr>
          <w:sz w:val="20"/>
          <w:szCs w:val="20"/>
          <w:color w:val="auto"/>
        </w:rPr>
      </w:pPr>
    </w:p>
    <w:p>
      <w:pPr>
        <w:ind w:left="7660"/>
        <w:spacing w:after="0"/>
        <w:tabs>
          <w:tab w:leader="none" w:pos="822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Wilmington Trust, National Association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1220 North Market Street, Suite 202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Delaware 19801</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Dante M. Monakil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Number: (302) 255-4966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Number: (302) 661-2266</w:t>
      </w:r>
    </w:p>
    <w:p>
      <w:pPr>
        <w:spacing w:after="0" w:line="20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MORI SPC SERIES CORP., as Seller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Joseph J. Bramuchi</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Orlando, Florida 32821</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General Counsel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(407) 513-6680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1240"/>
          </w:cols>
          <w:pgMar w:left="240" w:top="280" w:right="419" w:bottom="1440" w:gutter="0" w:footer="0" w:header="0"/>
        </w:sectPr>
      </w:pPr>
    </w:p>
    <w:bookmarkStart w:id="148" w:name="page149"/>
    <w:bookmarkEnd w:id="148"/>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MARRIOTT OWNERSHIP RESORTS, INC.., in its individual</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capacity and as Servicer and Administrator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Joseph J. Bramuchi</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Orlando, Florida 32821</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General Counsel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(407) 513-6680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Performance Guarantor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Joseph J. Bramuchi</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Orlando, Florida 32821</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General Counsel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(407) 513-6680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1320"/>
          </w:cols>
          <w:pgMar w:left="240" w:top="280" w:right="339" w:bottom="1440" w:gutter="0" w:footer="0" w:header="0"/>
        </w:sectPr>
      </w:pPr>
    </w:p>
    <w:bookmarkStart w:id="149" w:name="page150"/>
    <w:bookmarkEnd w:id="149"/>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MVCO SERIES LLC, as Owner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J. Bramuchi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Name: Joseph J. Bramuchi</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6649 Westwood Boulevard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Orlando, Florida 32821</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General Counsel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(407) 206-6000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(407) 513-6680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0219"/>
          </w:cols>
          <w:pgMar w:left="240" w:top="280" w:right="1440" w:bottom="1440" w:gutter="0" w:footer="0" w:header="0"/>
        </w:sectPr>
      </w:pPr>
    </w:p>
    <w:bookmarkStart w:id="150" w:name="page151"/>
    <w:bookmarkEnd w:id="150"/>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 as</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Indenture Trustee, Back-Up Servicer and Custodian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Jennifer Westberg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Jennifer Westberg</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MAC N9311-161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Sixth Street &amp; Marquette Avenue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Minneapolis, Minnesota 55479</w:t>
      </w:r>
    </w:p>
    <w:p>
      <w:pPr>
        <w:spacing w:after="0" w:line="205" w:lineRule="exact"/>
        <w:rPr>
          <w:sz w:val="20"/>
          <w:szCs w:val="20"/>
          <w:color w:val="auto"/>
        </w:rPr>
      </w:pPr>
    </w:p>
    <w:p>
      <w:pPr>
        <w:ind w:left="6860"/>
        <w:spacing w:after="0"/>
        <w:tabs>
          <w:tab w:leader="none" w:pos="7760" w:val="left"/>
        </w:tabs>
        <w:rPr>
          <w:sz w:val="20"/>
          <w:szCs w:val="20"/>
          <w:color w:val="auto"/>
        </w:rPr>
      </w:pPr>
      <w:r>
        <w:rPr>
          <w:rFonts w:ascii="Arial" w:cs="Arial" w:eastAsia="Arial" w:hAnsi="Arial"/>
          <w:sz w:val="18"/>
          <w:szCs w:val="18"/>
          <w:color w:val="auto"/>
        </w:rPr>
        <w:t>Attention:</w:t>
        <w:tab/>
        <w:t>Corporate Trust Services/Asset-Backed</w:t>
      </w:r>
    </w:p>
    <w:p>
      <w:pPr>
        <w:spacing w:after="0" w:line="1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Administration</w:t>
      </w:r>
    </w:p>
    <w:p>
      <w:pPr>
        <w:spacing w:after="0" w:line="9" w:lineRule="exact"/>
        <w:rPr>
          <w:sz w:val="20"/>
          <w:szCs w:val="20"/>
          <w:color w:val="auto"/>
        </w:rPr>
      </w:pPr>
    </w:p>
    <w:tbl>
      <w:tblPr>
        <w:tblLayout w:type="fixed"/>
        <w:tblInd w:w="6860" w:type="dxa"/>
        <w:tblCellMar>
          <w:top w:w="0" w:type="dxa"/>
          <w:left w:w="0" w:type="dxa"/>
          <w:bottom w:w="0" w:type="dxa"/>
          <w:right w:w="0" w:type="dxa"/>
        </w:tblCellMar>
      </w:tblPr>
      <w:tr>
        <w:trPr>
          <w:trHeight w:val="210"/>
        </w:trPr>
        <w:tc>
          <w:tcPr>
            <w:tcW w:w="1560" w:type="dxa"/>
            <w:vAlign w:val="bottom"/>
          </w:tcPr>
          <w:p>
            <w:pPr>
              <w:spacing w:after="0"/>
              <w:rPr>
                <w:sz w:val="20"/>
                <w:szCs w:val="20"/>
                <w:color w:val="auto"/>
              </w:rPr>
            </w:pPr>
            <w:r>
              <w:rPr>
                <w:rFonts w:ascii="Arial" w:cs="Arial" w:eastAsia="Arial" w:hAnsi="Arial"/>
                <w:sz w:val="18"/>
                <w:szCs w:val="18"/>
                <w:color w:val="auto"/>
              </w:rPr>
              <w:t>Facsimile Number:</w:t>
            </w:r>
          </w:p>
        </w:tc>
        <w:tc>
          <w:tcPr>
            <w:tcW w:w="1280" w:type="dxa"/>
            <w:vAlign w:val="bottom"/>
          </w:tcPr>
          <w:p>
            <w:pPr>
              <w:jc w:val="right"/>
              <w:spacing w:after="0"/>
              <w:rPr>
                <w:sz w:val="20"/>
                <w:szCs w:val="20"/>
                <w:color w:val="auto"/>
              </w:rPr>
            </w:pPr>
            <w:r>
              <w:rPr>
                <w:rFonts w:ascii="Arial" w:cs="Arial" w:eastAsia="Arial" w:hAnsi="Arial"/>
                <w:sz w:val="18"/>
                <w:szCs w:val="18"/>
                <w:color w:val="auto"/>
              </w:rPr>
              <w:t>(612) 667-3539</w:t>
            </w:r>
          </w:p>
        </w:tc>
      </w:tr>
      <w:tr>
        <w:trPr>
          <w:trHeight w:val="222"/>
        </w:trPr>
        <w:tc>
          <w:tcPr>
            <w:tcW w:w="1560" w:type="dxa"/>
            <w:vAlign w:val="bottom"/>
          </w:tcPr>
          <w:p>
            <w:pPr>
              <w:spacing w:after="0"/>
              <w:rPr>
                <w:sz w:val="20"/>
                <w:szCs w:val="20"/>
                <w:color w:val="auto"/>
              </w:rPr>
            </w:pPr>
            <w:r>
              <w:rPr>
                <w:rFonts w:ascii="Arial" w:cs="Arial" w:eastAsia="Arial" w:hAnsi="Arial"/>
                <w:sz w:val="18"/>
                <w:szCs w:val="18"/>
                <w:color w:val="auto"/>
                <w:w w:val="96"/>
              </w:rPr>
              <w:t>Telephone Number:</w:t>
            </w:r>
          </w:p>
        </w:tc>
        <w:tc>
          <w:tcPr>
            <w:tcW w:w="1280" w:type="dxa"/>
            <w:vAlign w:val="bottom"/>
          </w:tcPr>
          <w:p>
            <w:pPr>
              <w:jc w:val="right"/>
              <w:spacing w:after="0"/>
              <w:rPr>
                <w:sz w:val="20"/>
                <w:szCs w:val="20"/>
                <w:color w:val="auto"/>
              </w:rPr>
            </w:pPr>
            <w:r>
              <w:rPr>
                <w:rFonts w:ascii="Arial" w:cs="Arial" w:eastAsia="Arial" w:hAnsi="Arial"/>
                <w:sz w:val="18"/>
                <w:szCs w:val="18"/>
                <w:color w:val="auto"/>
              </w:rPr>
              <w:t>(612) 667-8058</w:t>
            </w:r>
          </w:p>
        </w:tc>
      </w:tr>
    </w:tbl>
    <w:p>
      <w:pPr>
        <w:spacing w:after="0" w:line="19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WILMINGTON TRUST, NATIONAL ASSOCIATION, not in</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individual capacity, but solely as Owner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Dante M. Monakil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Dante M. Monakil</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Trust, National Association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1220 North Market Street, Suite 202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Mail Code: MD1-WD22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Wilmington, Delaware, 19801</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Dante M. Monakil, CCTS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Number: (302) 661-2266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Number: (302) 225-4970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1260"/>
          </w:cols>
          <w:pgMar w:left="240" w:top="280" w:right="399" w:bottom="1440" w:gutter="0" w:footer="0" w:header="0"/>
        </w:sectPr>
      </w:pPr>
    </w:p>
    <w:bookmarkStart w:id="151" w:name="page152"/>
    <w:bookmarkEnd w:id="151"/>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AG, NEW YORK BRANCH, as</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Colin Bennett</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Jay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Jay Steiner</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New York 10005</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Mary Conners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(212) 250-4731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(212) 797-5300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Accounts Name: Commercial Loan Dep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021-001-033</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Bank Name: Deutsche Bank Trust Company Americas</w:t>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99401268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Lee Joyner Ph. 904-527-6438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Reference: MVWOT 2011-1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0700"/>
          </w:cols>
          <w:pgMar w:left="240" w:top="279" w:right="959" w:bottom="1440" w:gutter="0" w:footer="0" w:header="0"/>
        </w:sectPr>
      </w:pPr>
    </w:p>
    <w:bookmarkStart w:id="152" w:name="page153"/>
    <w:bookmarkEnd w:id="152"/>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MOUNTCLIFF FUNDING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Conduit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Soave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Joseph Soave</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Chief Financial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20 Gates Management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30 Irving Place, 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NY 10003</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Vidrik Frankfather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(212) 295-4146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(212) 295-3785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mountcliff@20gates.com</w:t>
      </w:r>
      <w:r>
        <w:rPr>
          <w:rFonts w:ascii="Arial" w:cs="Arial" w:eastAsia="Arial" w:hAnsi="Arial"/>
          <w:sz w:val="16"/>
          <w:szCs w:val="16"/>
          <w:color w:val="auto"/>
        </w:rPr>
        <w:t xml:space="preserve">; </w:t>
      </w:r>
      <w:r>
        <w:rPr>
          <w:rFonts w:ascii="Arial" w:cs="Arial" w:eastAsia="Arial" w:hAnsi="Arial"/>
          <w:sz w:val="16"/>
          <w:szCs w:val="16"/>
          <w:u w:val="single" w:color="auto"/>
          <w:color w:val="auto"/>
        </w:rPr>
        <w:t>mountcliff.group@db.com</w:t>
      </w:r>
      <w:r>
        <w:rPr>
          <w:rFonts w:ascii="Arial" w:cs="Arial" w:eastAsia="Arial" w:hAnsi="Arial"/>
          <w:sz w:val="16"/>
          <w:szCs w:val="16"/>
          <w:color w:val="auto"/>
        </w:rPr>
        <w:t>;</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ajohal@20gates.com</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1220"/>
          </w:cols>
          <w:pgMar w:left="240" w:top="280" w:right="439" w:bottom="1440" w:gutter="0" w:footer="0" w:header="0"/>
        </w:sectPr>
      </w:pPr>
    </w:p>
    <w:bookmarkStart w:id="153" w:name="page154"/>
    <w:bookmarkEnd w:id="153"/>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SUISSE AG, CAYMAN ISLANDS BRANCH</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Alternate Purchaser</w:t>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Michelangelo Raimondi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10795</wp:posOffset>
            </wp:positionV>
            <wp:extent cx="262445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tabs>
          <w:tab w:leader="none" w:pos="7940" w:val="left"/>
        </w:tabs>
        <w:rPr>
          <w:sz w:val="20"/>
          <w:szCs w:val="20"/>
          <w:color w:val="auto"/>
        </w:rPr>
      </w:pPr>
      <w:r>
        <w:rPr>
          <w:rFonts w:ascii="Arial" w:cs="Arial" w:eastAsia="Arial" w:hAnsi="Arial"/>
          <w:sz w:val="18"/>
          <w:szCs w:val="18"/>
          <w:color w:val="auto"/>
        </w:rPr>
        <w:t>Name:</w:t>
        <w:tab/>
        <w:t>Michelangelo Raimondi</w:t>
      </w:r>
    </w:p>
    <w:p>
      <w:pPr>
        <w:spacing w:after="0" w:line="15" w:lineRule="exact"/>
        <w:rPr>
          <w:sz w:val="20"/>
          <w:szCs w:val="20"/>
          <w:color w:val="auto"/>
        </w:rPr>
      </w:pPr>
    </w:p>
    <w:p>
      <w:pPr>
        <w:ind w:left="7280"/>
        <w:spacing w:after="0"/>
        <w:tabs>
          <w:tab w:leader="none" w:pos="7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Jason Ruchelsman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4627245</wp:posOffset>
            </wp:positionH>
            <wp:positionV relativeFrom="paragraph">
              <wp:posOffset>10795</wp:posOffset>
            </wp:positionV>
            <wp:extent cx="26244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16" w:lineRule="exact"/>
        <w:rPr>
          <w:sz w:val="20"/>
          <w:szCs w:val="20"/>
          <w:color w:val="auto"/>
        </w:rPr>
      </w:pPr>
    </w:p>
    <w:p>
      <w:pPr>
        <w:ind w:left="7280"/>
        <w:spacing w:after="0"/>
        <w:tabs>
          <w:tab w:leader="none" w:pos="7940" w:val="left"/>
        </w:tabs>
        <w:rPr>
          <w:sz w:val="20"/>
          <w:szCs w:val="20"/>
          <w:color w:val="auto"/>
        </w:rPr>
      </w:pPr>
      <w:r>
        <w:rPr>
          <w:rFonts w:ascii="Arial" w:cs="Arial" w:eastAsia="Arial" w:hAnsi="Arial"/>
          <w:sz w:val="18"/>
          <w:szCs w:val="18"/>
          <w:color w:val="auto"/>
        </w:rPr>
        <w:t>Name:</w:t>
        <w:tab/>
        <w:t>Jason Ruchelsman</w:t>
      </w:r>
    </w:p>
    <w:p>
      <w:pPr>
        <w:spacing w:after="0" w:line="15" w:lineRule="exact"/>
        <w:rPr>
          <w:sz w:val="20"/>
          <w:szCs w:val="20"/>
          <w:color w:val="auto"/>
        </w:rPr>
      </w:pPr>
    </w:p>
    <w:p>
      <w:pPr>
        <w:ind w:left="7280"/>
        <w:spacing w:after="0"/>
        <w:tabs>
          <w:tab w:leader="none" w:pos="79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Authorized Signatory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NY 10010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Conduits and Credit Products Group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(212) 325-6688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(212) 325-4599</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Name: Bank of New York, 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021-000-018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890-039-2770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Fred Mastromarino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Reference: Credit Suisse AG, Cayman Islands Branch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0820"/>
          </w:cols>
          <w:pgMar w:left="240" w:top="280" w:right="839" w:bottom="1440" w:gutter="0" w:footer="0" w:header="0"/>
        </w:sectPr>
      </w:pPr>
    </w:p>
    <w:bookmarkStart w:id="154" w:name="page155"/>
    <w:bookmarkEnd w:id="154"/>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NEW YORK BRANCH</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Funding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Michelangelo Raimondi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Michelangelo Raimondi</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Associate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Jason Ruchelsman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Jason Ruchelsman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NY 10010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Attention: Conduits and Credit Products Group</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(212) 325-6688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(212) 325-4599</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Name: Bank of New York, NY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021-000-018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890-038-7025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Fred Mastromarino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Reference: Credit Suisse AG, New York Branch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0240"/>
          </w:cols>
          <w:pgMar w:left="240" w:top="280" w:right="1419" w:bottom="1440" w:gutter="0" w:footer="0" w:header="0"/>
        </w:sectPr>
      </w:pPr>
    </w:p>
    <w:bookmarkStart w:id="155" w:name="page156"/>
    <w:bookmarkEnd w:id="155"/>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THAMES ASSET GLOBAL SECURITIZATION NO. 1, INC.</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Conduit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V. DeAngelis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V. DeAngelis</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The Royal Bank of Scotland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Securitization Support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250 Bishopsgate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London EC2M 4AA</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secsupportconduit@rbs.com</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Kristina Neville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(312) 664-6566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(203) 873-5753</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Royal Bank of Scotland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Accounts for Payments: Thames Asset Global Securitization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 1, Inc.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021-000-021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11948742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Reference: MVWOT 2011-1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1280"/>
          </w:cols>
          <w:pgMar w:left="240" w:top="280" w:right="379" w:bottom="1440" w:gutter="0" w:footer="0" w:header="0"/>
        </w:sectPr>
      </w:pPr>
    </w:p>
    <w:bookmarkStart w:id="156" w:name="page157"/>
    <w:bookmarkEnd w:id="156"/>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 BANK OF SCOTLAND PLC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Alternate Purchaser and Funding Agent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RBS Securities Inc., as agent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J. Donofrio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J. Donofrio</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The Royal Bank of Scotland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550 W. Jackson Blvd., 18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 IL 60661</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Kristina Neville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(312) 664-6566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(203) 873-5753</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JPMorgan Chase Bank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Account for Payments: Royal Bank of Scotland PLC NY</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021-000-021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400931052</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Reference: MVWOT 2011-1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0860"/>
          </w:cols>
          <w:pgMar w:left="240" w:top="280" w:right="799" w:bottom="1440" w:gutter="0" w:footer="0" w:header="0"/>
        </w:sectPr>
      </w:pPr>
    </w:p>
    <w:bookmarkStart w:id="157" w:name="page158"/>
    <w:bookmarkEnd w:id="157"/>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SUNTRUST BANK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Non-Conduit Committed Purchaser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Pawan Churiwal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Pawan Churiwal</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3333 Peachtree Street NE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10</w:t>
      </w:r>
      <w:r>
        <w:rPr>
          <w:rFonts w:ascii="Arial" w:cs="Arial" w:eastAsia="Arial" w:hAnsi="Arial"/>
          <w:sz w:val="11"/>
          <w:szCs w:val="11"/>
          <w:color w:val="auto"/>
        </w:rPr>
        <w:t>th</w:t>
      </w:r>
      <w:r>
        <w:rPr>
          <w:rFonts w:ascii="Arial" w:cs="Arial" w:eastAsia="Arial" w:hAnsi="Arial"/>
          <w:sz w:val="18"/>
          <w:szCs w:val="18"/>
          <w:color w:val="auto"/>
        </w:rPr>
        <w:t xml:space="preserve"> Floor East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Atlanta, Georgia 30326</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Kayla Williams and David Morley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(404) 926-5475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(404) 495-2171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strh.afg.funding@suntrust.com</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SunTrust Banks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061000104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1000022220783</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Account Name: STB AGENCY SERVICES OPERATING</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Doug Weltz</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Reference: MVWOT 2011-1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0980"/>
          </w:cols>
          <w:pgMar w:left="240" w:top="280" w:right="679" w:bottom="1440" w:gutter="0" w:footer="0" w:header="0"/>
        </w:sectPr>
      </w:pPr>
    </w:p>
    <w:bookmarkStart w:id="158" w:name="page159"/>
    <w:bookmarkEnd w:id="158"/>
    <w:p>
      <w:pPr>
        <w:ind w:left="6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 AMERICAS</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Non-Conduit Committed Purchaser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Jay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Jay Steiner</w:t>
      </w:r>
    </w:p>
    <w:p>
      <w:pPr>
        <w:spacing w:after="0" w:line="15"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Managing 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Mary Connors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Mary Connors</w:t>
      </w:r>
    </w:p>
    <w:p>
      <w:pPr>
        <w:spacing w:after="0" w:line="15"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New York 10005</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Mary Conners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(212) 250-4731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(212) 797-5300</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Accounts Name: Commercial Loan Dep</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021-001-033</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Bank Name: Deutsche Bank Trust Company Americas</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99401268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Lee Joyner Ph. 904-527-6438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Reference: MVWOT 2011-1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0740"/>
          </w:cols>
          <w:pgMar w:left="240" w:top="280" w:right="919" w:bottom="1440" w:gutter="0" w:footer="0" w:header="0"/>
        </w:sectPr>
      </w:pPr>
    </w:p>
    <w:bookmarkStart w:id="159" w:name="page160"/>
    <w:bookmarkEnd w:id="159"/>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 N.A.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Non-Conduit Committed Purchaser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Maysonet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Steven Maysonet</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of America, National Association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214 North Tryon Street, 15th Floor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NC1-027-15-01</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Charlotte, North Carolina 28255</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Securitization Finance Group c/o</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Wood / Steven Maysonet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980-388-5938 / 980-387-1386</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auto"/>
        </w:rPr>
        <w:t>robert.wood@baml.com</w:t>
      </w:r>
      <w:r>
        <w:rPr>
          <w:rFonts w:ascii="Arial" w:cs="Arial" w:eastAsia="Arial" w:hAnsi="Arial"/>
          <w:sz w:val="16"/>
          <w:szCs w:val="16"/>
          <w:color w:val="auto"/>
        </w:rPr>
        <w:t xml:space="preserve"> steven.maysonet@baml.com</w:t>
      </w:r>
    </w:p>
    <w:p>
      <w:pPr>
        <w:spacing w:after="0" w:line="2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Accounts for Payments: Bank of America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026 009 593</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Name: Wire Clearing Account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4426457864</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Sean C. Walsh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980-386-0159</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Reference: Marriott Vacations Worldwide Owner Trust 2011-1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1260"/>
          </w:cols>
          <w:pgMar w:left="240" w:top="280" w:right="399" w:bottom="1440" w:gutter="0" w:footer="0" w:header="0"/>
        </w:sectPr>
      </w:pPr>
    </w:p>
    <w:bookmarkStart w:id="160" w:name="page161"/>
    <w:bookmarkEnd w:id="160"/>
    <w:p>
      <w:pPr>
        <w:ind w:left="6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WELLS FARGO CAPITAL FINANCE,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Non-Conduit Committed Purchaser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Ajay Jagsi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Ajay Jagsi</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 for notices: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14241 Dallas Parkway, Suite 1300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Dallas, Texas 75254</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Ajay Jagsi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Telephone: (972) 851-9220</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Facsimile: (866) 719-9124</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Accounts for Payments: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ABA Number: 121-000-248</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Account Number: 4124923707</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Attention: Latonya Whitfield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Reference: Marriott Vacations Worldwide Owner Trust 2011-1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KL2 2780484, Omnibus Amendment No. 1</w:t>
      </w:r>
    </w:p>
    <w:p>
      <w:pPr>
        <w:sectPr>
          <w:pgSz w:w="11900" w:h="16838" w:orient="portrait"/>
          <w:cols w:equalWidth="0" w:num="1">
            <w:col w:w="11260"/>
          </w:cols>
          <w:pgMar w:left="240" w:top="280" w:right="39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28"/>
        </w:trPr>
        <w:tc>
          <w:tcPr>
            <w:tcW w:w="3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680" w:type="dxa"/>
            <w:vAlign w:val="bottom"/>
            <w:gridSpan w:val="2"/>
          </w:tcPr>
          <w:p>
            <w:pPr>
              <w:ind w:left="1780"/>
              <w:spacing w:after="0"/>
              <w:rPr>
                <w:sz w:val="20"/>
                <w:szCs w:val="20"/>
                <w:color w:val="auto"/>
              </w:rPr>
            </w:pPr>
            <w:r>
              <w:rPr>
                <w:rFonts w:ascii="Arial" w:cs="Arial" w:eastAsia="Arial" w:hAnsi="Arial"/>
                <w:sz w:val="18"/>
                <w:szCs w:val="18"/>
                <w:b w:val="1"/>
                <w:bCs w:val="1"/>
                <w:color w:val="auto"/>
                <w:w w:val="87"/>
              </w:rPr>
              <w:t>Exhibit 21.1</w:t>
            </w:r>
          </w:p>
        </w:tc>
      </w:tr>
      <w:tr>
        <w:trPr>
          <w:trHeight w:val="378"/>
        </w:trPr>
        <w:tc>
          <w:tcPr>
            <w:tcW w:w="3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940" w:type="dxa"/>
            <w:vAlign w:val="bottom"/>
            <w:gridSpan w:val="3"/>
          </w:tcPr>
          <w:p>
            <w:pPr>
              <w:ind w:left="800"/>
              <w:spacing w:after="0"/>
              <w:rPr>
                <w:sz w:val="20"/>
                <w:szCs w:val="20"/>
                <w:color w:val="auto"/>
              </w:rPr>
            </w:pPr>
            <w:r>
              <w:rPr>
                <w:rFonts w:ascii="Arial" w:cs="Arial" w:eastAsia="Arial" w:hAnsi="Arial"/>
                <w:sz w:val="18"/>
                <w:szCs w:val="18"/>
                <w:color w:val="auto"/>
              </w:rPr>
              <w:t>Subsidiaries</w:t>
            </w:r>
          </w:p>
        </w:tc>
      </w:tr>
      <w:tr>
        <w:trPr>
          <w:trHeight w:val="380"/>
        </w:trPr>
        <w:tc>
          <w:tcPr>
            <w:tcW w:w="3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Arial" w:cs="Arial" w:eastAsia="Arial" w:hAnsi="Arial"/>
                <w:sz w:val="18"/>
                <w:szCs w:val="18"/>
                <w:b w:val="1"/>
                <w:bCs w:val="1"/>
                <w:color w:val="auto"/>
              </w:rPr>
              <w:t>Jurisdiction of Organization</w:t>
            </w:r>
          </w:p>
        </w:tc>
      </w:tr>
      <w:tr>
        <w:trPr>
          <w:trHeight w:val="30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Subsidiaries organized in the United States</w:t>
            </w:r>
          </w:p>
        </w:tc>
        <w:tc>
          <w:tcPr>
            <w:tcW w:w="4260" w:type="dxa"/>
            <w:vAlign w:val="bottom"/>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r>
      <w:tr>
        <w:trPr>
          <w:trHeight w:val="336"/>
        </w:trPr>
        <w:tc>
          <w:tcPr>
            <w:tcW w:w="3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e-CRM Central, LLC</w:t>
            </w:r>
          </w:p>
        </w:tc>
        <w:tc>
          <w:tcPr>
            <w:tcW w:w="1260" w:type="dxa"/>
            <w:vAlign w:val="bottom"/>
          </w:tcPr>
          <w:p>
            <w:pPr>
              <w:spacing w:after="0"/>
              <w:rPr>
                <w:sz w:val="24"/>
                <w:szCs w:val="24"/>
                <w:color w:val="auto"/>
              </w:rPr>
            </w:pP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Eagle Tree Construction,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Florida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Hard Carbon,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Nevada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Heavenly Resort Properties,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Nevada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K D Kapule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Hawaii</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Kauai Lagoons Holdings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Kauai Lagoons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Hawaii</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Kauai Lagoons Vessels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Hawaii</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Kauai Ownership Resorts, Inc.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Also does business under the names</w:t>
            </w: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Overseas Owners Services Corporation</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Ownership Resorts Procurement,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Ownership Resorts, Inc.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Also does business under the names</w:t>
            </w: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Resorts Hospitality Corporation</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South Carolina</w:t>
            </w:r>
          </w:p>
        </w:tc>
      </w:tr>
      <w:tr>
        <w:trPr>
          <w:trHeight w:val="216"/>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Also does business under the names</w:t>
            </w: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Resorts Sales Company, Inc.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Also does business under the names</w:t>
            </w: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Resorts Title Company, Inc.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Florida</w:t>
            </w:r>
          </w:p>
        </w:tc>
      </w:tr>
      <w:tr>
        <w:trPr>
          <w:trHeight w:val="216"/>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Also does business under the names</w:t>
            </w: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Resorts, Travel Company, Inc.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ind w:left="440"/>
              <w:spacing w:after="0"/>
              <w:rPr>
                <w:sz w:val="20"/>
                <w:szCs w:val="20"/>
                <w:color w:val="auto"/>
              </w:rPr>
            </w:pPr>
            <w:r>
              <w:rPr>
                <w:rFonts w:ascii="Arial" w:cs="Arial" w:eastAsia="Arial" w:hAnsi="Arial"/>
                <w:sz w:val="18"/>
                <w:szCs w:val="18"/>
                <w:color w:val="auto"/>
              </w:rPr>
              <w:t>Also does business under the names</w:t>
            </w:r>
          </w:p>
        </w:tc>
        <w:tc>
          <w:tcPr>
            <w:tcW w:w="42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Vacation Club Ownership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Vacation Club Ownership II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 Vacation Properties of Florida, Inc.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Marriott’s Desert Springs Development Corporation</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MH Kapalua Venture,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Golf (Kauai),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Member (Kauai), LLC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Residences, Inc.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SPC 2005-1 Corp.</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SPC 2005-2 Corp.</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SPC 2006-1 Corp</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SPC 2006-2 Corp.</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SPC 2007-1 Corp.</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SPC Corp.</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MORI SPC II, Inc.</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MORI SPC III Corp.</w:t>
            </w:r>
          </w:p>
        </w:tc>
        <w:tc>
          <w:tcPr>
            <w:tcW w:w="6940" w:type="dxa"/>
            <w:vAlign w:val="bottom"/>
            <w:gridSpan w:val="3"/>
          </w:tcPr>
          <w:p>
            <w:pPr>
              <w:ind w:left="37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420"/>
          </w:cols>
          <w:pgMar w:left="240" w:top="125" w:right="239"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6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Jurisdiction of Organization</w:t>
            </w:r>
          </w:p>
        </w:tc>
      </w:tr>
      <w:tr>
        <w:trPr>
          <w:trHeight w:val="336"/>
        </w:trPr>
        <w:tc>
          <w:tcPr>
            <w:tcW w:w="3620" w:type="dxa"/>
            <w:vAlign w:val="bottom"/>
          </w:tcPr>
          <w:p>
            <w:pPr>
              <w:spacing w:after="0"/>
              <w:rPr>
                <w:sz w:val="20"/>
                <w:szCs w:val="20"/>
                <w:color w:val="auto"/>
              </w:rPr>
            </w:pPr>
            <w:r>
              <w:rPr>
                <w:rFonts w:ascii="Arial" w:cs="Arial" w:eastAsia="Arial" w:hAnsi="Arial"/>
                <w:sz w:val="18"/>
                <w:szCs w:val="18"/>
                <w:color w:val="auto"/>
              </w:rPr>
              <w:t>MORI SPC Series Corp.</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MORI SPC V Corp.</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MORI SPC VI Corp.</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MORI SPC VII Corp.</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MTSC, INC.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MVCO 2005-1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MVCO 2005-2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MVCO 2006-1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MVCO 2006-2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MVCO 2007-1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MVCO Series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MVW International Finance Company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MVW of Nevada, Inc.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Nevada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MVW US Holdings, Inc.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R.C. Chronicle Building, L.P.</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RBF,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Also does business under the names</w:t>
            </w:r>
          </w:p>
        </w:tc>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RCC (GP) Holdings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RCC (LP) Holdings L.P.</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RCDC 942,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RCDC Chronicle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The Cobalt Travel Company,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The Lion &amp; Crown Travel Co.,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9"/>
              </w:rPr>
              <w:t>The Ritz-Carlton Development Company, Inc.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w w:val="94"/>
              </w:rPr>
              <w:t>The Ritz-Carlton Management Company, L.L.C.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The Ritz-Carlton Sales Company, Inc.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The Ritz-Carlton Title Company, Inc.</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Delaware</w:t>
            </w:r>
          </w:p>
        </w:tc>
      </w:tr>
      <w:tr>
        <w:trPr>
          <w:trHeight w:val="190"/>
        </w:trPr>
        <w:tc>
          <w:tcPr>
            <w:tcW w:w="362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Subsidiaries organized outside the United States</w:t>
            </w:r>
          </w:p>
        </w:tc>
        <w:tc>
          <w:tcPr>
            <w:tcW w:w="5080" w:type="dxa"/>
            <w:vAlign w:val="bottom"/>
          </w:tcPr>
          <w:p>
            <w:pPr>
              <w:spacing w:after="0"/>
              <w:rPr>
                <w:sz w:val="16"/>
                <w:szCs w:val="16"/>
                <w:color w:val="auto"/>
              </w:rPr>
            </w:pPr>
          </w:p>
        </w:tc>
        <w:tc>
          <w:tcPr>
            <w:tcW w:w="2120" w:type="dxa"/>
            <w:vAlign w:val="bottom"/>
          </w:tcPr>
          <w:p>
            <w:pPr>
              <w:spacing w:after="0"/>
              <w:rPr>
                <w:sz w:val="16"/>
                <w:szCs w:val="16"/>
                <w:color w:val="auto"/>
              </w:rPr>
            </w:pPr>
          </w:p>
        </w:tc>
      </w:tr>
      <w:tr>
        <w:trPr>
          <w:trHeight w:val="336"/>
        </w:trPr>
        <w:tc>
          <w:tcPr>
            <w:tcW w:w="3620" w:type="dxa"/>
            <w:vAlign w:val="bottom"/>
          </w:tcPr>
          <w:p>
            <w:pPr>
              <w:spacing w:after="0"/>
              <w:rPr>
                <w:sz w:val="20"/>
                <w:szCs w:val="20"/>
                <w:color w:val="auto"/>
              </w:rPr>
            </w:pPr>
            <w:r>
              <w:rPr>
                <w:rFonts w:ascii="Arial" w:cs="Arial" w:eastAsia="Arial" w:hAnsi="Arial"/>
                <w:sz w:val="18"/>
                <w:szCs w:val="18"/>
                <w:color w:val="auto"/>
              </w:rPr>
              <w:t>AP (Macau) Pte Limited</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Macau</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Aruba Finance Holdings B.V.</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Netherlands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Club Resorts No. 1 Australia Ltd.</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Australia</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Costa Del Sol Development Company N.V.</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Aruba</w:t>
            </w:r>
          </w:p>
        </w:tc>
      </w:tr>
      <w:tr>
        <w:trPr>
          <w:trHeight w:val="216"/>
        </w:trPr>
        <w:tc>
          <w:tcPr>
            <w:tcW w:w="3620" w:type="dxa"/>
            <w:vAlign w:val="bottom"/>
          </w:tcPr>
          <w:p>
            <w:pPr>
              <w:ind w:left="440"/>
              <w:spacing w:after="0"/>
              <w:rPr>
                <w:sz w:val="20"/>
                <w:szCs w:val="20"/>
                <w:color w:val="auto"/>
              </w:rPr>
            </w:pPr>
            <w:r>
              <w:rPr>
                <w:rFonts w:ascii="Arial" w:cs="Arial" w:eastAsia="Arial" w:hAnsi="Arial"/>
                <w:sz w:val="18"/>
                <w:szCs w:val="18"/>
                <w:color w:val="auto"/>
              </w:rPr>
              <w:t>Also does business under the names</w:t>
            </w:r>
          </w:p>
        </w:tc>
        <w:tc>
          <w:tcPr>
            <w:tcW w:w="50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Fortyseven Park Street Limited</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United Kingdom</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Hat 64</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Cayman Islands</w:t>
            </w:r>
          </w:p>
        </w:tc>
      </w:tr>
      <w:tr>
        <w:trPr>
          <w:trHeight w:val="222"/>
        </w:trPr>
        <w:tc>
          <w:tcPr>
            <w:tcW w:w="3620" w:type="dxa"/>
            <w:vAlign w:val="bottom"/>
          </w:tcPr>
          <w:p>
            <w:pPr>
              <w:spacing w:after="0"/>
              <w:rPr>
                <w:sz w:val="20"/>
                <w:szCs w:val="20"/>
                <w:color w:val="auto"/>
              </w:rPr>
            </w:pPr>
            <w:r>
              <w:rPr>
                <w:rFonts w:ascii="Arial" w:cs="Arial" w:eastAsia="Arial" w:hAnsi="Arial"/>
                <w:sz w:val="18"/>
                <w:szCs w:val="18"/>
                <w:color w:val="auto"/>
                <w:w w:val="95"/>
              </w:rPr>
              <w:t>Marriott Ownership Resorts (Bahamas) Limited</w:t>
            </w:r>
          </w:p>
        </w:tc>
        <w:tc>
          <w:tcPr>
            <w:tcW w:w="7200" w:type="dxa"/>
            <w:vAlign w:val="bottom"/>
            <w:gridSpan w:val="2"/>
          </w:tcPr>
          <w:p>
            <w:pPr>
              <w:ind w:left="4480"/>
              <w:spacing w:after="0"/>
              <w:rPr>
                <w:sz w:val="20"/>
                <w:szCs w:val="20"/>
                <w:color w:val="auto"/>
              </w:rPr>
            </w:pPr>
            <w:r>
              <w:rPr>
                <w:rFonts w:ascii="Arial" w:cs="Arial" w:eastAsia="Arial" w:hAnsi="Arial"/>
                <w:sz w:val="18"/>
                <w:szCs w:val="18"/>
                <w:color w:val="auto"/>
              </w:rPr>
              <w:t>Bahamas</w:t>
            </w:r>
          </w:p>
        </w:tc>
      </w:tr>
    </w:tbl>
    <w:p>
      <w:pPr>
        <w:sectPr>
          <w:pgSz w:w="11900" w:h="16838" w:orient="portrait"/>
          <w:cols w:equalWidth="0" w:num="1">
            <w:col w:w="10820"/>
          </w:cols>
          <w:pgMar w:left="240" w:top="257" w:right="839" w:bottom="1440" w:gutter="0" w:footer="0" w:header="0"/>
        </w:sectPr>
      </w:pPr>
    </w:p>
    <w:bookmarkStart w:id="163" w:name="page164"/>
    <w:bookmarkEnd w:id="1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Jurisdiction of Organization</w:t>
            </w:r>
          </w:p>
        </w:tc>
      </w:tr>
      <w:tr>
        <w:trPr>
          <w:trHeight w:val="228"/>
        </w:trPr>
        <w:tc>
          <w:tcPr>
            <w:tcW w:w="5860" w:type="dxa"/>
            <w:vAlign w:val="bottom"/>
          </w:tcPr>
          <w:p>
            <w:pPr>
              <w:spacing w:after="0"/>
              <w:rPr>
                <w:sz w:val="20"/>
                <w:szCs w:val="20"/>
                <w:color w:val="auto"/>
              </w:rPr>
            </w:pPr>
            <w:r>
              <w:rPr>
                <w:rFonts w:ascii="Arial" w:cs="Arial" w:eastAsia="Arial" w:hAnsi="Arial"/>
                <w:sz w:val="18"/>
                <w:szCs w:val="18"/>
                <w:color w:val="auto"/>
              </w:rPr>
              <w:t>Marriott Ownership Resorts (St. Thomas), Inc.</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Virgin Islands - US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Marriott Resorts Hospitality (Bahamas)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Bahamas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Marriott Resorts Hospitality of Aruba N.V.</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Aruba</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Marriott Vacation Club International of Aruba N.V.</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Aruba</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Marriott Vacation Club International of Japan, Inc.</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Japan</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Marriott Vacation Club Timesharing GmbH</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Austria</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MGRC Management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United Kingdom</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AP Macau Marketing Pte,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Macau</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Australia Pty Ltd.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Australia</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Asia Pacific (Hong Kong) Pte.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Hong Kong</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Asia Pacific Finance Pte.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Hong Kong</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Asia Pacific Pte. Ltd.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Singapore</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Egypt B.V.</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Netherlands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Europe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United Kingdom</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Finance C.V.</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Aruba</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France SAS</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France</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Holidays France SAS</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France</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Holidays, S.L.</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Spain</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Holdings B.V.</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Netherlands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Ireland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Ireland</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Management, S.L.</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Spain</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Playa Andaluza Holidays, S.L.</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Spain</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Puerto Rico, Inc.</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Puerto Rico</w:t>
            </w:r>
          </w:p>
        </w:tc>
      </w:tr>
      <w:tr>
        <w:trPr>
          <w:trHeight w:val="216"/>
        </w:trPr>
        <w:tc>
          <w:tcPr>
            <w:tcW w:w="5860" w:type="dxa"/>
            <w:vAlign w:val="bottom"/>
          </w:tcPr>
          <w:p>
            <w:pPr>
              <w:ind w:left="440"/>
              <w:spacing w:after="0"/>
              <w:rPr>
                <w:sz w:val="20"/>
                <w:szCs w:val="20"/>
                <w:color w:val="auto"/>
              </w:rPr>
            </w:pPr>
            <w:r>
              <w:rPr>
                <w:rFonts w:ascii="Arial" w:cs="Arial" w:eastAsia="Arial" w:hAnsi="Arial"/>
                <w:sz w:val="18"/>
                <w:szCs w:val="18"/>
                <w:color w:val="auto"/>
              </w:rPr>
              <w:t>Also does business under the names</w:t>
            </w:r>
          </w:p>
        </w:tc>
        <w:tc>
          <w:tcPr>
            <w:tcW w:w="28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Services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Ireland</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St. Kitts Company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Saint Kitts &amp; Nieves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MVCI (Thailand)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Thailand</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MVW International Holding Company S.ar.l.</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Luxembourg</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Promociones Marriott, S.A. de C.V.</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Mexico</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RC Abaco Holding Company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Virgin Islands - BR</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RC Management Company Bahamas Limited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Bahamas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R.M. Mexicana S.A. de C.V.</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Mexico</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RC St. Thomas, LLC</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Virgin Islands - US</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The Abaco Club RC, Ltd.</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Bahamas</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The Ritz-Carlton Club, St. Thomas, Inc.</w:t>
            </w:r>
          </w:p>
        </w:tc>
        <w:tc>
          <w:tcPr>
            <w:tcW w:w="4960" w:type="dxa"/>
            <w:vAlign w:val="bottom"/>
            <w:gridSpan w:val="2"/>
          </w:tcPr>
          <w:p>
            <w:pPr>
              <w:ind w:left="2240"/>
              <w:spacing w:after="0"/>
              <w:rPr>
                <w:sz w:val="20"/>
                <w:szCs w:val="20"/>
                <w:color w:val="auto"/>
              </w:rPr>
            </w:pPr>
            <w:r>
              <w:rPr>
                <w:rFonts w:ascii="Arial" w:cs="Arial" w:eastAsia="Arial" w:hAnsi="Arial"/>
                <w:sz w:val="18"/>
                <w:szCs w:val="18"/>
                <w:color w:val="auto"/>
              </w:rPr>
              <w:t>Virgin Islands - US</w:t>
            </w:r>
          </w:p>
        </w:tc>
      </w:tr>
    </w:tbl>
    <w:p>
      <w:pPr>
        <w:sectPr>
          <w:pgSz w:w="11900" w:h="16838" w:orient="portrait"/>
          <w:cols w:equalWidth="0" w:num="1">
            <w:col w:w="10820"/>
          </w:cols>
          <w:pgMar w:left="240" w:top="257" w:right="8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(Form S-8 No. 333-177798) pertaining to the Marriott Vacations Worldwide Corporation Stock and Cash Incentive Plan of our reports dated February 22, 2013, with respect to the consolidated financial statements of Marriott Vacations Worldwide Corporation, and the effectiveness of internal control over financial reporting of Marriott Vacations Worldwide Corporation, included in this Annual Report (Form 10-K) for the year ended December 28,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w:t>
      </w:r>
    </w:p>
    <w:p>
      <w:pPr>
        <w:sectPr>
          <w:pgSz w:w="11900" w:h="16838" w:orient="portrait"/>
          <w:cols w:equalWidth="0" w:num="1">
            <w:col w:w="11420"/>
          </w:cols>
          <w:pgMar w:left="240" w:top="125"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90"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6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12"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9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jc w:val="both"/>
        <w:ind w:left="900" w:right="300" w:hanging="446"/>
        <w:spacing w:after="0" w:line="259"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6"/>
          <w:szCs w:val="16"/>
          <w:color w:val="auto"/>
        </w:rPr>
      </w:pPr>
    </w:p>
    <w:p>
      <w:pPr>
        <w:ind w:left="1920" w:right="200" w:hanging="440"/>
        <w:spacing w:after="0" w:line="306" w:lineRule="auto"/>
        <w:tabs>
          <w:tab w:leader="none" w:pos="19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 w:lineRule="exact"/>
        <w:rPr>
          <w:rFonts w:ascii="Arial" w:cs="Arial" w:eastAsia="Arial" w:hAnsi="Arial"/>
          <w:sz w:val="16"/>
          <w:szCs w:val="16"/>
          <w:color w:val="auto"/>
        </w:rPr>
      </w:pPr>
    </w:p>
    <w:p>
      <w:pPr>
        <w:jc w:val="both"/>
        <w:ind w:left="1920" w:hanging="440"/>
        <w:spacing w:after="0" w:line="357" w:lineRule="auto"/>
        <w:tabs>
          <w:tab w:leader="none" w:pos="1920" w:val="left"/>
        </w:tabs>
        <w:numPr>
          <w:ilvl w:val="1"/>
          <w:numId w:val="6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5" w:lineRule="exact"/>
        <w:rPr>
          <w:rFonts w:ascii="Arial" w:cs="Arial" w:eastAsia="Arial" w:hAnsi="Arial"/>
          <w:sz w:val="16"/>
          <w:szCs w:val="16"/>
          <w:color w:val="auto"/>
        </w:rPr>
      </w:pPr>
    </w:p>
    <w:p>
      <w:pPr>
        <w:ind w:left="900" w:right="20" w:hanging="446"/>
        <w:spacing w:after="0" w:line="332" w:lineRule="auto"/>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920" w:right="240" w:hanging="440"/>
        <w:spacing w:after="0" w:line="332" w:lineRule="auto"/>
        <w:tabs>
          <w:tab w:leader="none" w:pos="19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12"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90" w:lineRule="exact"/>
        <w:rPr>
          <w:sz w:val="20"/>
          <w:szCs w:val="20"/>
          <w:color w:val="auto"/>
        </w:rPr>
      </w:pPr>
    </w:p>
    <w:p>
      <w:pPr>
        <w:ind w:left="900" w:right="780" w:hanging="446"/>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28, 2012 (the “Annual Report”), fully complies with the requirements of section 13(a) or 15(d) of the Securities Exchange Act of 1934 (15 U.S.C. 78m or 78o(d)); and</w:t>
      </w:r>
    </w:p>
    <w:p>
      <w:pPr>
        <w:spacing w:after="0" w:line="4"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12"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6"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13" w:lineRule="exact"/>
        <w:rPr>
          <w:sz w:val="20"/>
          <w:szCs w:val="20"/>
          <w:color w:val="auto"/>
        </w:rPr>
      </w:pPr>
    </w:p>
    <w:p>
      <w:pPr>
        <w:ind w:left="900" w:right="78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28, 2012 (the “Annual Report”), fully complies with the requirements of section 13(a) or 15(d) of the Securities Exchange Act of 1934 (15 U.S.C. 78m or 78o(d)); and</w:t>
      </w:r>
    </w:p>
    <w:p>
      <w:pPr>
        <w:spacing w:after="0" w:line="4"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2013</w:t>
      </w:r>
    </w:p>
    <w:p>
      <w:pPr>
        <w:spacing w:after="0" w:line="212"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1)"/>
      <w:numFmt w:val="decimal"/>
      <w:start w:val="3"/>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1)"/>
      <w:numFmt w:val="decimal"/>
      <w:start w:val="4"/>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1)"/>
      <w:numFmt w:val="decimal"/>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2"/>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5"/>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9"/>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1)"/>
      <w:numFmt w:val="decimal"/>
      <w:start w:val="2"/>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9"/>
    </w:lvl>
    <w:lvl w:ilvl="1">
      <w:lvlJc w:val="left"/>
      <w:lvlText w:val="•"/>
      <w:numFmt w:val="bullet"/>
      <w:start w:val="1"/>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decimal"/>
      <w:start w:val="3"/>
    </w:lvl>
  </w:abstractNum>
  <w:abstractNum w:abstractNumId="35">
    <w:nsid w:val="3DC240FB"/>
    <w:multiLevelType w:val="hybridMultilevel"/>
    <w:lvl w:ilvl="0">
      <w:lvlJc w:val="left"/>
      <w:lvlText w:val="%1."/>
      <w:numFmt w:val="decimal"/>
      <w:start w:val="1"/>
    </w:lvl>
    <w:lvl w:ilvl="1">
      <w:lvlJc w:val="left"/>
      <w:lvlText w:val="•"/>
      <w:numFmt w:val="bullet"/>
      <w:start w:val="1"/>
    </w:lvl>
  </w:abstractNum>
  <w:abstractNum w:abstractNumId="36">
    <w:nsid w:val="1BA026FA"/>
    <w:multiLevelType w:val="hybridMultilevel"/>
    <w:lvl w:ilvl="0">
      <w:lvlJc w:val="left"/>
      <w:lvlText w:val="%1."/>
      <w:numFmt w:val="decimal"/>
      <w:start w:val="2"/>
    </w:lvl>
  </w:abstractNum>
  <w:abstractNum w:abstractNumId="37">
    <w:nsid w:val="79A1DEAA"/>
    <w:multiLevelType w:val="hybridMultilevel"/>
    <w:lvl w:ilvl="0">
      <w:lvlJc w:val="left"/>
      <w:lvlText w:val="%1."/>
      <w:numFmt w:val="decimal"/>
      <w:start w:val="1"/>
    </w:lvl>
    <w:lvl w:ilvl="1">
      <w:lvlJc w:val="left"/>
      <w:lvlText w:val="•"/>
      <w:numFmt w:val="bullet"/>
      <w:start w:val="1"/>
    </w:lvl>
  </w:abstractNum>
  <w:abstractNum w:abstractNumId="38">
    <w:nsid w:val="75C6C33A"/>
    <w:multiLevelType w:val="hybridMultilevel"/>
    <w:lvl w:ilvl="0">
      <w:lvlJc w:val="left"/>
      <w:lvlText w:val="%1."/>
      <w:numFmt w:val="decimal"/>
      <w:start w:val="2"/>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lowerLetter"/>
      <w:start w:val="4"/>
    </w:lvl>
  </w:abstractNum>
  <w:abstractNum w:abstractNumId="41">
    <w:nsid w:val="520EEDD1"/>
    <w:multiLevelType w:val="hybridMultilevel"/>
    <w:lvl w:ilvl="0">
      <w:lvlJc w:val="left"/>
      <w:lvlText w:val="(%1)"/>
      <w:numFmt w:val="lowerRoman"/>
      <w:start w:val="2"/>
    </w:lvl>
  </w:abstractNum>
  <w:abstractNum w:abstractNumId="42">
    <w:nsid w:val="374A3FE6"/>
    <w:multiLevelType w:val="hybridMultilevel"/>
    <w:lvl w:ilvl="0">
      <w:lvlJc w:val="left"/>
      <w:lvlText w:val="(%1)"/>
      <w:numFmt w:val="lowerRoman"/>
      <w:start w:val="2"/>
    </w:lvl>
  </w:abstractNum>
  <w:abstractNum w:abstractNumId="43">
    <w:nsid w:val="4F4EF005"/>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4">
    <w:nsid w:val="23F9C13C"/>
    <w:multiLevelType w:val="hybridMultilevel"/>
    <w:lvl w:ilvl="0">
      <w:lvlJc w:val="left"/>
      <w:lvlText w:val="%1."/>
      <w:numFmt w:val="decimal"/>
      <w:start w:val="3"/>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lowerRoman"/>
      <w:start w:val="1"/>
    </w:lvl>
  </w:abstractNum>
  <w:abstractNum w:abstractNumId="49">
    <w:nsid w:val="180115BE"/>
    <w:multiLevelType w:val="hybridMultilevel"/>
    <w:lvl w:ilvl="0">
      <w:lvlJc w:val="left"/>
      <w:lvlText w:val="(%1)"/>
      <w:numFmt w:val="lowerRoman"/>
      <w:start w:val="5"/>
    </w:lvl>
  </w:abstractNum>
  <w:abstractNum w:abstractNumId="50">
    <w:nsid w:val="235BA8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
    <w:nsid w:val="47398C89"/>
    <w:multiLevelType w:val="hybridMultilevel"/>
    <w:lvl w:ilvl="0">
      <w:lvlJc w:val="left"/>
      <w:lvlText w:val="%1"/>
      <w:numFmt w:val="decimal"/>
      <w:start w:val="1"/>
    </w:lvl>
    <w:lvl w:ilvl="1">
      <w:lvlJc w:val="left"/>
      <w:lvlText w:val="(%2)"/>
      <w:numFmt w:val="upperLetter"/>
      <w:start w:val="2"/>
    </w:lvl>
  </w:abstractNum>
  <w:abstractNum w:abstractNumId="52">
    <w:nsid w:val="354FE9F9"/>
    <w:multiLevelType w:val="hybridMultilevel"/>
    <w:lvl w:ilvl="0">
      <w:lvlJc w:val="left"/>
      <w:lvlText w:val="(%1)"/>
      <w:numFmt w:val="decimal"/>
      <w:start w:val="1"/>
    </w:lvl>
    <w:lvl w:ilvl="1">
      <w:lvlJc w:val="left"/>
      <w:lvlText w:val="%2"/>
      <w:numFmt w:val="upperLetter"/>
      <w:start w:val="1"/>
    </w:lvl>
  </w:abstractNum>
  <w:abstractNum w:abstractNumId="53">
    <w:nsid w:val="15B5AF5C"/>
    <w:multiLevelType w:val="hybridMultilevel"/>
    <w:lvl w:ilvl="0">
      <w:lvlJc w:val="left"/>
      <w:lvlText w:val="(%1)"/>
      <w:numFmt w:val="decimal"/>
      <w:start w:val="2"/>
    </w:lvl>
  </w:abstractNum>
  <w:abstractNum w:abstractNumId="54">
    <w:nsid w:val="741226BB"/>
    <w:multiLevelType w:val="hybridMultilevel"/>
    <w:lvl w:ilvl="0">
      <w:lvlJc w:val="left"/>
      <w:lvlText w:val="(%1)"/>
      <w:numFmt w:val="lowerRoman"/>
      <w:start w:val="6"/>
    </w:lvl>
  </w:abstractNum>
  <w:abstractNum w:abstractNumId="55">
    <w:nsid w:val="D34B6A8"/>
    <w:multiLevelType w:val="hybridMultilevel"/>
    <w:lvl w:ilvl="0">
      <w:lvlJc w:val="left"/>
      <w:lvlText w:val="%1"/>
      <w:numFmt w:val="lowerLetter"/>
      <w:start w:val="1"/>
    </w:lvl>
    <w:lvl w:ilvl="1">
      <w:lvlJc w:val="left"/>
      <w:lvlText w:val="(%2)"/>
      <w:numFmt w:val="lowerRoman"/>
      <w:start w:val="9"/>
    </w:lvl>
    <w:lvl w:ilvl="2">
      <w:lvlJc w:val="left"/>
      <w:lvlText w:val="%3"/>
      <w:numFmt w:val="lowerRoman"/>
      <w:start w:val="1"/>
    </w:lvl>
  </w:abstractNum>
  <w:abstractNum w:abstractNumId="56">
    <w:nsid w:val="10233C9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7">
    <w:nsid w:val="3F6AB60F"/>
    <w:multiLevelType w:val="hybridMultilevel"/>
    <w:lvl w:ilvl="0">
      <w:lvlJc w:val="left"/>
      <w:lvlText w:val="(%1)"/>
      <w:numFmt w:val="lowerRoman"/>
      <w:start w:val="1"/>
    </w:lvl>
  </w:abstractNum>
  <w:abstractNum w:abstractNumId="58">
    <w:nsid w:val="61574095"/>
    <w:multiLevelType w:val="hybridMultilevel"/>
    <w:lvl w:ilvl="0">
      <w:lvlJc w:val="left"/>
      <w:lvlText w:val="%1"/>
      <w:numFmt w:val="lowerLetter"/>
      <w:start w:val="1"/>
    </w:lvl>
    <w:lvl w:ilvl="1">
      <w:lvlJc w:val="left"/>
      <w:lvlText w:val="(%2)"/>
      <w:numFmt w:val="lowerRoman"/>
      <w:start w:val="10"/>
    </w:lvl>
  </w:abstractNum>
  <w:abstractNum w:abstractNumId="59">
    <w:nsid w:val="7E0C57B1"/>
    <w:multiLevelType w:val="hybridMultilevel"/>
    <w:lvl w:ilvl="0">
      <w:lvlJc w:val="left"/>
      <w:lvlText w:val="(%1)"/>
      <w:numFmt w:val="lowerLetter"/>
      <w:start w:val="2"/>
    </w:lvl>
    <w:lvl w:ilvl="1">
      <w:lvlJc w:val="left"/>
      <w:lvlText w:val="%2"/>
      <w:numFmt w:val="lowerRoman"/>
      <w:start w:val="1"/>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2019-12-08T01:10:02Z</dcterms:created>
  <dcterms:modified xsi:type="dcterms:W3CDTF">2019-12-08T01:10:02Z</dcterms:modified>
</cp:coreProperties>
</file>