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10-K</w:t>
      </w:r>
    </w:p>
    <w:p>
      <w:pPr>
        <w:spacing w:after="0" w:line="14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5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or</w:t>
      </w:r>
    </w:p>
    <w:p>
      <w:pPr>
        <w:spacing w:after="0" w:line="11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60" w:type="dxa"/>
            <w:vAlign w:val="bottom"/>
            <w:gridSpan w:val="4"/>
          </w:tcPr>
          <w:p>
            <w:pPr>
              <w:ind w:left="2160"/>
              <w:spacing w:after="0"/>
              <w:rPr>
                <w:sz w:val="20"/>
                <w:szCs w:val="20"/>
                <w:color w:val="auto"/>
              </w:rPr>
            </w:pPr>
            <w:r>
              <w:rPr>
                <w:rFonts w:ascii="Arial" w:cs="Arial" w:eastAsia="Arial" w:hAnsi="Arial"/>
                <w:sz w:val="14"/>
                <w:szCs w:val="14"/>
                <w:b w:val="1"/>
                <w:bCs w:val="1"/>
                <w:color w:val="auto"/>
              </w:rPr>
              <w:t>For the transition period from</w:t>
            </w: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to</w:t>
            </w:r>
          </w:p>
        </w:tc>
        <w:tc>
          <w:tcPr>
            <w:tcW w:w="1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7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140" w:type="dxa"/>
            <w:vAlign w:val="bottom"/>
            <w:gridSpan w:val="8"/>
          </w:tcPr>
          <w:p>
            <w:pPr>
              <w:jc w:val="center"/>
              <w:ind w:right="1046"/>
              <w:spacing w:after="0"/>
              <w:rPr>
                <w:sz w:val="20"/>
                <w:szCs w:val="20"/>
                <w:color w:val="auto"/>
              </w:rPr>
            </w:pPr>
            <w:r>
              <w:rPr>
                <w:rFonts w:ascii="Arial" w:cs="Arial" w:eastAsia="Arial" w:hAnsi="Arial"/>
                <w:sz w:val="14"/>
                <w:szCs w:val="14"/>
                <w:b w:val="1"/>
                <w:bCs w:val="1"/>
                <w:color w:val="auto"/>
                <w:w w:val="92"/>
              </w:rPr>
              <w:t>Commission File No. 001-35219</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4"/>
        </w:trPr>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720" w:type="dxa"/>
            <w:vAlign w:val="bottom"/>
            <w:tcBorders>
              <w:bottom w:val="single" w:sz="8" w:color="auto"/>
            </w:tcBorders>
            <w:gridSpan w:val="2"/>
          </w:tcPr>
          <w:p>
            <w:pPr>
              <w:spacing w:after="0"/>
              <w:rPr>
                <w:sz w:val="15"/>
                <w:szCs w:val="15"/>
                <w:color w:val="auto"/>
              </w:rPr>
            </w:pPr>
          </w:p>
        </w:tc>
        <w:tc>
          <w:tcPr>
            <w:tcW w:w="2020" w:type="dxa"/>
            <w:vAlign w:val="bottom"/>
            <w:tcBorders>
              <w:bottom w:val="single" w:sz="8" w:color="auto"/>
            </w:tcBorders>
            <w:gridSpan w:val="4"/>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spacing w:after="0"/>
              <w:rPr>
                <w:sz w:val="15"/>
                <w:szCs w:val="15"/>
                <w:color w:val="auto"/>
              </w:rPr>
            </w:pPr>
          </w:p>
        </w:tc>
        <w:tc>
          <w:tcPr>
            <w:tcW w:w="1780" w:type="dxa"/>
            <w:vAlign w:val="bottom"/>
          </w:tcPr>
          <w:p>
            <w:pPr>
              <w:spacing w:after="0"/>
              <w:rPr>
                <w:sz w:val="15"/>
                <w:szCs w:val="15"/>
                <w:color w:val="auto"/>
              </w:rPr>
            </w:pPr>
          </w:p>
        </w:tc>
      </w:tr>
      <w:tr>
        <w:trPr>
          <w:trHeight w:val="551"/>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20" w:type="dxa"/>
            <w:vAlign w:val="bottom"/>
            <w:gridSpan w:val="11"/>
          </w:tcPr>
          <w:p>
            <w:pPr>
              <w:jc w:val="center"/>
              <w:ind w:right="1760"/>
              <w:spacing w:after="0"/>
              <w:rPr>
                <w:sz w:val="20"/>
                <w:szCs w:val="20"/>
                <w:color w:val="auto"/>
              </w:rPr>
            </w:pPr>
            <w:r>
              <w:rPr>
                <w:rFonts w:ascii="Arial" w:cs="Arial" w:eastAsia="Arial" w:hAnsi="Arial"/>
                <w:sz w:val="32"/>
                <w:szCs w:val="32"/>
                <w:b w:val="1"/>
                <w:bCs w:val="1"/>
                <w:color w:val="auto"/>
                <w:w w:val="94"/>
              </w:rPr>
              <w:t>Marriott Vacations Worldwide Corporation</w:t>
            </w: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760" w:type="dxa"/>
            <w:vAlign w:val="bottom"/>
            <w:gridSpan w:val="9"/>
          </w:tcPr>
          <w:p>
            <w:pPr>
              <w:jc w:val="center"/>
              <w:ind w:left="141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20"/>
        </w:trPr>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3"/>
          </w:tcPr>
          <w:p>
            <w:pPr>
              <w:spacing w:after="0"/>
              <w:rPr>
                <w:sz w:val="10"/>
                <w:szCs w:val="10"/>
                <w:color w:val="auto"/>
              </w:rPr>
            </w:pPr>
          </w:p>
        </w:tc>
        <w:tc>
          <w:tcPr>
            <w:tcW w:w="1780" w:type="dxa"/>
            <w:vAlign w:val="bottom"/>
          </w:tcPr>
          <w:p>
            <w:pPr>
              <w:spacing w:after="0"/>
              <w:rPr>
                <w:sz w:val="10"/>
                <w:szCs w:val="10"/>
                <w:color w:val="auto"/>
              </w:rPr>
            </w:pPr>
          </w:p>
        </w:tc>
      </w:tr>
      <w:tr>
        <w:trPr>
          <w:trHeight w:val="480"/>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tcPr>
          <w:p>
            <w:pPr>
              <w:jc w:val="center"/>
              <w:ind w:left="25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6"/>
          </w:tcPr>
          <w:p>
            <w:pPr>
              <w:jc w:val="right"/>
              <w:ind w:right="737"/>
              <w:spacing w:after="0"/>
              <w:rPr>
                <w:sz w:val="20"/>
                <w:szCs w:val="20"/>
                <w:color w:val="auto"/>
              </w:rPr>
            </w:pPr>
            <w:r>
              <w:rPr>
                <w:rFonts w:ascii="Arial" w:cs="Arial" w:eastAsia="Arial" w:hAnsi="Arial"/>
                <w:sz w:val="18"/>
                <w:szCs w:val="18"/>
                <w:b w:val="1"/>
                <w:bCs w:val="1"/>
                <w:color w:val="auto"/>
              </w:rPr>
              <w:t>45-2598330</w:t>
            </w:r>
          </w:p>
        </w:tc>
        <w:tc>
          <w:tcPr>
            <w:tcW w:w="17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20" w:type="dxa"/>
            <w:vAlign w:val="bottom"/>
          </w:tcPr>
          <w:p>
            <w:pPr>
              <w:jc w:val="center"/>
              <w:ind w:left="256"/>
              <w:spacing w:after="0"/>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20" w:type="dxa"/>
            <w:vAlign w:val="bottom"/>
          </w:tcPr>
          <w:p>
            <w:pPr>
              <w:jc w:val="center"/>
              <w:ind w:left="25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260" w:type="dxa"/>
            <w:vAlign w:val="bottom"/>
          </w:tcPr>
          <w:p>
            <w:pPr>
              <w:spacing w:after="0"/>
              <w:rPr>
                <w:sz w:val="21"/>
                <w:szCs w:val="21"/>
                <w:color w:val="auto"/>
              </w:rPr>
            </w:pPr>
          </w:p>
        </w:tc>
        <w:tc>
          <w:tcPr>
            <w:tcW w:w="4360" w:type="dxa"/>
            <w:vAlign w:val="bottom"/>
            <w:gridSpan w:val="2"/>
          </w:tcPr>
          <w:p>
            <w:pPr>
              <w:ind w:left="1740"/>
              <w:spacing w:after="0"/>
              <w:rPr>
                <w:sz w:val="20"/>
                <w:szCs w:val="20"/>
                <w:color w:val="auto"/>
              </w:rPr>
            </w:pPr>
            <w:r>
              <w:rPr>
                <w:rFonts w:ascii="Arial" w:cs="Arial" w:eastAsia="Arial" w:hAnsi="Arial"/>
                <w:sz w:val="18"/>
                <w:szCs w:val="18"/>
                <w:b w:val="1"/>
                <w:bCs w:val="1"/>
                <w:color w:val="auto"/>
                <w:w w:val="98"/>
              </w:rPr>
              <w:t>6649 Westwood Blvd.  Orlando</w:t>
            </w: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FL</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937"/>
              <w:spacing w:after="0"/>
              <w:rPr>
                <w:sz w:val="20"/>
                <w:szCs w:val="20"/>
                <w:color w:val="auto"/>
              </w:rPr>
            </w:pPr>
            <w:r>
              <w:rPr>
                <w:rFonts w:ascii="Arial" w:cs="Arial" w:eastAsia="Arial" w:hAnsi="Arial"/>
                <w:sz w:val="18"/>
                <w:szCs w:val="18"/>
                <w:b w:val="1"/>
                <w:bCs w:val="1"/>
                <w:color w:val="auto"/>
                <w:w w:val="87"/>
              </w:rPr>
              <w:t>32821</w:t>
            </w:r>
          </w:p>
        </w:tc>
        <w:tc>
          <w:tcPr>
            <w:tcW w:w="1780" w:type="dxa"/>
            <w:vAlign w:val="bottom"/>
          </w:tcPr>
          <w:p>
            <w:pPr>
              <w:spacing w:after="0"/>
              <w:rPr>
                <w:sz w:val="21"/>
                <w:szCs w:val="21"/>
                <w:color w:val="auto"/>
              </w:rPr>
            </w:pPr>
          </w:p>
        </w:tc>
      </w:tr>
      <w:tr>
        <w:trPr>
          <w:trHeight w:val="186"/>
        </w:trPr>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6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5"/>
              </w:rPr>
              <w:t>(Zip Code)</w:t>
            </w:r>
          </w:p>
        </w:tc>
      </w:tr>
      <w:tr>
        <w:trPr>
          <w:trHeight w:val="39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20" w:type="dxa"/>
            <w:vAlign w:val="bottom"/>
            <w:gridSpan w:val="11"/>
          </w:tcPr>
          <w:p>
            <w:pPr>
              <w:jc w:val="center"/>
              <w:ind w:right="1780"/>
              <w:spacing w:after="0"/>
              <w:rPr>
                <w:sz w:val="20"/>
                <w:szCs w:val="20"/>
                <w:color w:val="auto"/>
              </w:rPr>
            </w:pPr>
            <w:r>
              <w:rPr>
                <w:rFonts w:ascii="Arial" w:cs="Arial" w:eastAsia="Arial" w:hAnsi="Arial"/>
                <w:sz w:val="16"/>
                <w:szCs w:val="16"/>
                <w:b w:val="1"/>
                <w:bCs w:val="1"/>
                <w:color w:val="auto"/>
                <w:w w:val="91"/>
              </w:rPr>
              <w:t>Registrant’s Telephone Number, Including Area Code (407) 206-6000</w:t>
            </w:r>
          </w:p>
        </w:tc>
      </w:tr>
      <w:tr>
        <w:trPr>
          <w:trHeight w:val="264"/>
        </w:trPr>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760" w:type="dxa"/>
            <w:vAlign w:val="bottom"/>
            <w:gridSpan w:val="9"/>
          </w:tcPr>
          <w:p>
            <w:pPr>
              <w:jc w:val="center"/>
              <w:ind w:left="139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4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92"/>
        </w:trPr>
        <w:tc>
          <w:tcPr>
            <w:tcW w:w="260" w:type="dxa"/>
            <w:vAlign w:val="bottom"/>
          </w:tcPr>
          <w:p>
            <w:pPr>
              <w:spacing w:after="0"/>
              <w:rPr>
                <w:sz w:val="24"/>
                <w:szCs w:val="24"/>
                <w:color w:val="auto"/>
              </w:rPr>
            </w:pPr>
          </w:p>
        </w:tc>
        <w:tc>
          <w:tcPr>
            <w:tcW w:w="4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00" w:type="dxa"/>
            <w:vAlign w:val="bottom"/>
          </w:tcPr>
          <w:p>
            <w:pPr>
              <w:spacing w:after="0"/>
              <w:rPr>
                <w:sz w:val="24"/>
                <w:szCs w:val="24"/>
                <w:color w:val="auto"/>
              </w:rPr>
            </w:pPr>
          </w:p>
        </w:tc>
        <w:tc>
          <w:tcPr>
            <w:tcW w:w="17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w w:val="91"/>
              </w:rPr>
              <w:t>Trading Symbol(s)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7"/>
        </w:trPr>
        <w:tc>
          <w:tcPr>
            <w:tcW w:w="260" w:type="dxa"/>
            <w:vAlign w:val="bottom"/>
          </w:tcPr>
          <w:p>
            <w:pPr>
              <w:spacing w:after="0"/>
              <w:rPr>
                <w:sz w:val="17"/>
                <w:szCs w:val="17"/>
                <w:color w:val="auto"/>
              </w:rPr>
            </w:pPr>
          </w:p>
        </w:tc>
        <w:tc>
          <w:tcPr>
            <w:tcW w:w="4360" w:type="dxa"/>
            <w:vAlign w:val="bottom"/>
            <w:gridSpan w:val="2"/>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00" w:type="dxa"/>
            <w:vAlign w:val="bottom"/>
          </w:tcPr>
          <w:p>
            <w:pPr>
              <w:spacing w:after="0"/>
              <w:rPr>
                <w:sz w:val="17"/>
                <w:szCs w:val="17"/>
                <w:color w:val="auto"/>
              </w:rPr>
            </w:pPr>
          </w:p>
        </w:tc>
        <w:tc>
          <w:tcPr>
            <w:tcW w:w="1740" w:type="dxa"/>
            <w:vAlign w:val="bottom"/>
            <w:gridSpan w:val="2"/>
          </w:tcPr>
          <w:p>
            <w:pPr>
              <w:jc w:val="center"/>
              <w:ind w:left="179"/>
              <w:spacing w:after="0"/>
              <w:rPr>
                <w:sz w:val="20"/>
                <w:szCs w:val="20"/>
                <w:color w:val="auto"/>
              </w:rPr>
            </w:pPr>
            <w:r>
              <w:rPr>
                <w:rFonts w:ascii="Arial" w:cs="Arial" w:eastAsia="Arial" w:hAnsi="Arial"/>
                <w:sz w:val="16"/>
                <w:szCs w:val="16"/>
                <w:color w:val="auto"/>
                <w:w w:val="97"/>
              </w:rPr>
              <w:t>VAC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60" w:type="dxa"/>
            <w:vAlign w:val="bottom"/>
            <w:gridSpan w:val="2"/>
          </w:tcPr>
          <w:p>
            <w:pPr>
              <w:jc w:val="center"/>
              <w:ind w:right="960"/>
              <w:spacing w:after="0"/>
              <w:rPr>
                <w:sz w:val="20"/>
                <w:szCs w:val="20"/>
                <w:color w:val="auto"/>
              </w:rPr>
            </w:pPr>
            <w:r>
              <w:rPr>
                <w:rFonts w:ascii="Arial" w:cs="Arial" w:eastAsia="Arial" w:hAnsi="Arial"/>
                <w:sz w:val="16"/>
                <w:szCs w:val="16"/>
                <w:color w:val="auto"/>
                <w:w w:val="91"/>
              </w:rPr>
              <w:t>New York Stock Exchange</w:t>
            </w:r>
          </w:p>
        </w:tc>
      </w:tr>
      <w:tr>
        <w:trPr>
          <w:trHeight w:val="305"/>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60" w:type="dxa"/>
            <w:vAlign w:val="bottom"/>
            <w:gridSpan w:val="9"/>
          </w:tcPr>
          <w:p>
            <w:pPr>
              <w:jc w:val="center"/>
              <w:ind w:left="1356"/>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0"/>
        </w:trPr>
        <w:tc>
          <w:tcPr>
            <w:tcW w:w="2000" w:type="dxa"/>
            <w:vAlign w:val="bottom"/>
            <w:gridSpan w:val="2"/>
          </w:tcPr>
          <w:p>
            <w:pPr>
              <w:spacing w:after="0"/>
              <w:rPr>
                <w:sz w:val="10"/>
                <w:szCs w:val="10"/>
                <w:color w:val="auto"/>
              </w:rPr>
            </w:pPr>
          </w:p>
        </w:tc>
        <w:tc>
          <w:tcPr>
            <w:tcW w:w="5760" w:type="dxa"/>
            <w:vAlign w:val="bottom"/>
            <w:tcBorders>
              <w:bottom w:val="single" w:sz="8" w:color="auto"/>
            </w:tcBorders>
            <w:gridSpan w:val="9"/>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343"/>
        </w:trPr>
        <w:tc>
          <w:tcPr>
            <w:tcW w:w="7760" w:type="dxa"/>
            <w:vAlign w:val="bottom"/>
            <w:gridSpan w:val="11"/>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26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97"/>
        </w:trPr>
        <w:tc>
          <w:tcPr>
            <w:tcW w:w="7760" w:type="dxa"/>
            <w:vAlign w:val="bottom"/>
            <w:gridSpan w:val="11"/>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3260" w:type="dxa"/>
            <w:vAlign w:val="bottom"/>
            <w:gridSpan w:val="2"/>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73" w:lineRule="exact"/>
        <w:rPr>
          <w:sz w:val="24"/>
          <w:szCs w:val="24"/>
          <w:color w:val="auto"/>
        </w:rPr>
      </w:pPr>
    </w:p>
    <w:p>
      <w:pPr>
        <w:ind w:right="2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340"/>
              <w:spacing w:after="0"/>
              <w:rPr>
                <w:sz w:val="20"/>
                <w:szCs w:val="20"/>
                <w:color w:val="auto"/>
              </w:rPr>
            </w:pPr>
            <w:r>
              <w:rPr>
                <w:rFonts w:ascii="Arial" w:cs="Arial" w:eastAsia="Arial" w:hAnsi="Arial"/>
                <w:sz w:val="16"/>
                <w:szCs w:val="16"/>
                <w:color w:val="auto"/>
              </w:rPr>
              <w:t>Accelerated filer</w:t>
            </w: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vMerge w:val="continue"/>
          </w:tcPr>
          <w:p>
            <w:pPr>
              <w:spacing w:after="0"/>
              <w:rPr>
                <w:sz w:val="10"/>
                <w:szCs w:val="10"/>
                <w:color w:val="auto"/>
              </w:rPr>
            </w:pPr>
          </w:p>
        </w:tc>
        <w:tc>
          <w:tcPr>
            <w:tcW w:w="4480" w:type="dxa"/>
            <w:vAlign w:val="bottom"/>
            <w:vMerge w:val="restart"/>
          </w:tcPr>
          <w:p>
            <w:pPr>
              <w:ind w:left="2340"/>
              <w:spacing w:after="0"/>
              <w:rPr>
                <w:sz w:val="20"/>
                <w:szCs w:val="20"/>
                <w:color w:val="auto"/>
              </w:rPr>
            </w:pPr>
            <w:r>
              <w:rPr>
                <w:rFonts w:ascii="Arial" w:cs="Arial" w:eastAsia="Arial" w:hAnsi="Arial"/>
                <w:sz w:val="16"/>
                <w:szCs w:val="16"/>
                <w:color w:val="auto"/>
              </w:rPr>
              <w:t>Smaller reporting company</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20" w:type="dxa"/>
            <w:vAlign w:val="bottom"/>
            <w:vMerge w:val="continue"/>
          </w:tcPr>
          <w:p>
            <w:pPr>
              <w:spacing w:after="0"/>
              <w:rPr>
                <w:sz w:val="17"/>
                <w:szCs w:val="17"/>
                <w:color w:val="auto"/>
              </w:rPr>
            </w:pPr>
          </w:p>
        </w:tc>
        <w:tc>
          <w:tcPr>
            <w:tcW w:w="27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vMerge w:val="continue"/>
          </w:tcPr>
          <w:p>
            <w:pPr>
              <w:spacing w:after="0"/>
              <w:rPr>
                <w:sz w:val="17"/>
                <w:szCs w:val="17"/>
                <w:color w:val="auto"/>
              </w:rPr>
            </w:pP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4480" w:type="dxa"/>
            <w:vAlign w:val="bottom"/>
            <w:vMerge w:val="restart"/>
          </w:tcPr>
          <w:p>
            <w:pPr>
              <w:ind w:left="2340"/>
              <w:spacing w:after="0"/>
              <w:rPr>
                <w:sz w:val="20"/>
                <w:szCs w:val="20"/>
                <w:color w:val="auto"/>
              </w:rPr>
            </w:pPr>
            <w:r>
              <w:rPr>
                <w:rFonts w:ascii="Arial" w:cs="Arial" w:eastAsia="Arial" w:hAnsi="Arial"/>
                <w:sz w:val="16"/>
                <w:szCs w:val="16"/>
                <w:color w:val="auto"/>
              </w:rPr>
              <w:t>Emerging growth company</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80" w:type="dxa"/>
            <w:vAlign w:val="bottom"/>
            <w:vMerge w:val="continue"/>
          </w:tcPr>
          <w:p>
            <w:pPr>
              <w:spacing w:after="0"/>
              <w:rPr>
                <w:sz w:val="17"/>
                <w:szCs w:val="17"/>
                <w:color w:val="auto"/>
              </w:rPr>
            </w:pPr>
          </w:p>
        </w:tc>
        <w:tc>
          <w:tcPr>
            <w:tcW w:w="50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4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10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420"/>
        <w:spacing w:after="0" w:line="275" w:lineRule="auto"/>
        <w:rPr>
          <w:sz w:val="20"/>
          <w:szCs w:val="20"/>
          <w:color w:val="auto"/>
        </w:rPr>
      </w:pPr>
      <w:r>
        <w:rPr>
          <w:rFonts w:ascii="Arial" w:cs="Arial" w:eastAsia="Arial" w:hAnsi="Arial"/>
          <w:sz w:val="16"/>
          <w:szCs w:val="16"/>
          <w:color w:val="auto"/>
        </w:rPr>
        <w:t>The aggregate market value of shares of common stock held by non-affiliates at June 30, 2020, was $3,305,237,101. There were 41,197,482 shares of common stock outstanding as of February 19, 2021.</w:t>
      </w:r>
    </w:p>
    <w:p>
      <w:pPr>
        <w:spacing w:after="0" w:line="60"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prepared for the 2021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96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260" w:type="dxa"/>
            <w:vAlign w:val="bottom"/>
            <w:vMerge w:val="restart"/>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896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89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960" w:type="dxa"/>
            <w:vAlign w:val="bottom"/>
          </w:tcPr>
          <w:p>
            <w:pPr>
              <w:ind w:left="2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98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1A.</w:t>
              </w:r>
            </w:hyperlink>
          </w:p>
        </w:tc>
        <w:tc>
          <w:tcPr>
            <w:tcW w:w="8960" w:type="dxa"/>
            <w:vAlign w:val="bottom"/>
          </w:tcPr>
          <w:p>
            <w:pPr>
              <w:ind w:left="2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1B.</w:t>
              </w:r>
            </w:hyperlink>
          </w:p>
        </w:tc>
        <w:tc>
          <w:tcPr>
            <w:tcW w:w="896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Unresolved Staff Comments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w:t>
              </w:r>
            </w:hyperlink>
          </w:p>
        </w:tc>
        <w:tc>
          <w:tcPr>
            <w:tcW w:w="896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Properties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tc>
        <w:tc>
          <w:tcPr>
            <w:tcW w:w="89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Legal Proceedings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w:t>
              </w:r>
            </w:hyperlink>
          </w:p>
        </w:tc>
        <w:tc>
          <w:tcPr>
            <w:tcW w:w="89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rFonts w:ascii="Arial" w:cs="Arial" w:eastAsia="Arial" w:hAnsi="Arial"/>
                <w:sz w:val="18"/>
                <w:szCs w:val="18"/>
                <w:color w:val="0000FF"/>
              </w:rPr>
            </w:pPr>
            <w:hyperlink w:anchor="page38">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8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5.</w:t>
              </w:r>
            </w:hyperlink>
          </w:p>
        </w:tc>
        <w:tc>
          <w:tcPr>
            <w:tcW w:w="8960" w:type="dxa"/>
            <w:vAlign w:val="bottom"/>
          </w:tcPr>
          <w:p>
            <w:pPr>
              <w:ind w:left="260"/>
              <w:spacing w:after="0"/>
              <w:rPr>
                <w:rFonts w:ascii="Arial" w:cs="Arial" w:eastAsia="Arial" w:hAnsi="Arial"/>
                <w:sz w:val="18"/>
                <w:szCs w:val="18"/>
                <w:u w:val="single" w:color="auto"/>
                <w:color w:val="0000FF"/>
                <w:w w:val="97"/>
              </w:rPr>
            </w:pPr>
            <w:hyperlink w:anchor="page38">
              <w:r>
                <w:rPr>
                  <w:rFonts w:ascii="Arial" w:cs="Arial" w:eastAsia="Arial" w:hAnsi="Arial"/>
                  <w:sz w:val="18"/>
                  <w:szCs w:val="18"/>
                  <w:u w:val="single" w:color="auto"/>
                  <w:color w:val="0000FF"/>
                  <w:w w:val="97"/>
                </w:rPr>
                <w:t>Market for Registrant’s Common Equity, Related Stockholder Matters and Issuer Purchases of Equity Securities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w:t>
              </w:r>
            </w:hyperlink>
          </w:p>
        </w:tc>
        <w:tc>
          <w:tcPr>
            <w:tcW w:w="8960" w:type="dxa"/>
            <w:vAlign w:val="bottom"/>
          </w:tcPr>
          <w:p>
            <w:pPr>
              <w:ind w:left="2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Selected Financial Data</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7.</w:t>
              </w:r>
            </w:hyperlink>
          </w:p>
        </w:tc>
        <w:tc>
          <w:tcPr>
            <w:tcW w:w="8960" w:type="dxa"/>
            <w:vAlign w:val="bottom"/>
          </w:tcPr>
          <w:p>
            <w:pPr>
              <w:ind w:left="2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7A.</w:t>
              </w:r>
            </w:hyperlink>
          </w:p>
        </w:tc>
        <w:tc>
          <w:tcPr>
            <w:tcW w:w="8960" w:type="dxa"/>
            <w:vAlign w:val="bottom"/>
          </w:tcPr>
          <w:p>
            <w:pPr>
              <w:ind w:left="2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8.</w:t>
              </w:r>
            </w:hyperlink>
          </w:p>
        </w:tc>
        <w:tc>
          <w:tcPr>
            <w:tcW w:w="8960" w:type="dxa"/>
            <w:vAlign w:val="bottom"/>
          </w:tcPr>
          <w:p>
            <w:pPr>
              <w:ind w:left="26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Financial Statements and Supplementary Data</w:t>
              </w:r>
            </w:hyperlink>
          </w:p>
        </w:tc>
        <w:tc>
          <w:tcPr>
            <w:tcW w:w="980" w:type="dxa"/>
            <w:vAlign w:val="bottom"/>
          </w:tcPr>
          <w:p>
            <w:pPr>
              <w:jc w:val="center"/>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Item 9.</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Changes in and Disagreements with Accountants on Accounting and Financial Disclosure</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2">
              <w:r>
                <w:rPr>
                  <w:rFonts w:ascii="Arial" w:cs="Arial" w:eastAsia="Arial" w:hAnsi="Arial"/>
                  <w:sz w:val="18"/>
                  <w:szCs w:val="18"/>
                  <w:u w:val="single" w:color="auto"/>
                  <w:color w:val="0000FF"/>
                  <w:w w:val="86"/>
                </w:rPr>
                <w:t>131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9A.</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Controls and Procedures</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3">
              <w:r>
                <w:rPr>
                  <w:rFonts w:ascii="Arial" w:cs="Arial" w:eastAsia="Arial" w:hAnsi="Arial"/>
                  <w:sz w:val="18"/>
                  <w:szCs w:val="18"/>
                  <w:u w:val="single" w:color="auto"/>
                  <w:color w:val="0000FF"/>
                  <w:w w:val="86"/>
                </w:rPr>
                <w:t>131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9B.</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Other Information</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3">
              <w:r>
                <w:rPr>
                  <w:rFonts w:ascii="Arial" w:cs="Arial" w:eastAsia="Arial" w:hAnsi="Arial"/>
                  <w:sz w:val="18"/>
                  <w:szCs w:val="18"/>
                  <w:u w:val="single" w:color="auto"/>
                  <w:color w:val="0000FF"/>
                  <w:w w:val="86"/>
                </w:rPr>
                <w:t>131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Part III.</w:t>
              </w:r>
            </w:hyperlink>
          </w:p>
        </w:tc>
        <w:tc>
          <w:tcPr>
            <w:tcW w:w="8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10.</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Directors, Executive Officers and Corporate Governance</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3">
              <w:r>
                <w:rPr>
                  <w:rFonts w:ascii="Arial" w:cs="Arial" w:eastAsia="Arial" w:hAnsi="Arial"/>
                  <w:sz w:val="18"/>
                  <w:szCs w:val="18"/>
                  <w:u w:val="single" w:color="auto"/>
                  <w:color w:val="0000FF"/>
                  <w:w w:val="86"/>
                </w:rPr>
                <w:t>131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11.</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Executive Compensation</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4">
              <w:r>
                <w:rPr>
                  <w:rFonts w:ascii="Arial" w:cs="Arial" w:eastAsia="Arial" w:hAnsi="Arial"/>
                  <w:sz w:val="18"/>
                  <w:szCs w:val="18"/>
                  <w:u w:val="single" w:color="auto"/>
                  <w:color w:val="0000FF"/>
                  <w:w w:val="86"/>
                </w:rPr>
                <w:t>132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12.</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Security Ownership of Certain Beneficial Owners and Management and Related Stockholder Matters</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4">
              <w:r>
                <w:rPr>
                  <w:rFonts w:ascii="Arial" w:cs="Arial" w:eastAsia="Arial" w:hAnsi="Arial"/>
                  <w:sz w:val="18"/>
                  <w:szCs w:val="18"/>
                  <w:u w:val="single" w:color="auto"/>
                  <w:color w:val="0000FF"/>
                  <w:w w:val="86"/>
                </w:rPr>
                <w:t>132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3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13.</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Certain Relationships and Related Transactions, and Director Independence</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4">
              <w:r>
                <w:rPr>
                  <w:rFonts w:ascii="Arial" w:cs="Arial" w:eastAsia="Arial" w:hAnsi="Arial"/>
                  <w:sz w:val="18"/>
                  <w:szCs w:val="18"/>
                  <w:u w:val="single" w:color="auto"/>
                  <w:color w:val="0000FF"/>
                  <w:w w:val="86"/>
                </w:rPr>
                <w:t>132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14.</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Principal Accountant Fees and Services</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4">
              <w:r>
                <w:rPr>
                  <w:rFonts w:ascii="Arial" w:cs="Arial" w:eastAsia="Arial" w:hAnsi="Arial"/>
                  <w:sz w:val="18"/>
                  <w:szCs w:val="18"/>
                  <w:u w:val="single" w:color="auto"/>
                  <w:color w:val="0000FF"/>
                  <w:w w:val="86"/>
                </w:rPr>
                <w:t>132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2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Part IV.</w:t>
              </w:r>
            </w:hyperlink>
          </w:p>
        </w:tc>
        <w:tc>
          <w:tcPr>
            <w:tcW w:w="8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15.</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Exhibits and Financial Statement Schedules</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34">
              <w:r>
                <w:rPr>
                  <w:rFonts w:ascii="Arial" w:cs="Arial" w:eastAsia="Arial" w:hAnsi="Arial"/>
                  <w:sz w:val="18"/>
                  <w:szCs w:val="18"/>
                  <w:u w:val="single" w:color="auto"/>
                  <w:color w:val="0000FF"/>
                  <w:w w:val="86"/>
                </w:rPr>
                <w:t>132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60"/>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Item 16.</w:t>
              </w:r>
            </w:hyperlink>
          </w:p>
        </w:tc>
        <w:tc>
          <w:tcPr>
            <w:tcW w:w="8960" w:type="dxa"/>
            <w:vAlign w:val="bottom"/>
          </w:tcPr>
          <w:p>
            <w:pPr>
              <w:ind w:left="260"/>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Form 10-K Summary</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40">
              <w:r>
                <w:rPr>
                  <w:rFonts w:ascii="Arial" w:cs="Arial" w:eastAsia="Arial" w:hAnsi="Arial"/>
                  <w:sz w:val="18"/>
                  <w:szCs w:val="18"/>
                  <w:u w:val="single" w:color="auto"/>
                  <w:color w:val="0000FF"/>
                  <w:w w:val="86"/>
                </w:rPr>
                <w:t>138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960" w:type="dxa"/>
            <w:vAlign w:val="bottom"/>
          </w:tcPr>
          <w:p>
            <w:pPr>
              <w:ind w:left="260"/>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Signatures</w:t>
              </w:r>
            </w:hyperlink>
          </w:p>
        </w:tc>
        <w:tc>
          <w:tcPr>
            <w:tcW w:w="980" w:type="dxa"/>
            <w:vAlign w:val="bottom"/>
          </w:tcPr>
          <w:p>
            <w:pPr>
              <w:jc w:val="center"/>
              <w:spacing w:after="0"/>
              <w:rPr>
                <w:rFonts w:ascii="Arial" w:cs="Arial" w:eastAsia="Arial" w:hAnsi="Arial"/>
                <w:sz w:val="18"/>
                <w:szCs w:val="18"/>
                <w:u w:val="single" w:color="auto"/>
                <w:color w:val="0000FF"/>
                <w:w w:val="86"/>
              </w:rPr>
            </w:pPr>
            <w:hyperlink w:anchor="page140">
              <w:r>
                <w:rPr>
                  <w:rFonts w:ascii="Arial" w:cs="Arial" w:eastAsia="Arial" w:hAnsi="Arial"/>
                  <w:sz w:val="18"/>
                  <w:szCs w:val="18"/>
                  <w:u w:val="single" w:color="auto"/>
                  <w:color w:val="0000FF"/>
                  <w:w w:val="86"/>
                </w:rPr>
                <w:t>139</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5"/>
        </w:trPr>
        <w:tc>
          <w:tcPr>
            <w:tcW w:w="126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280" w:firstLine="648"/>
        <w:spacing w:after="0" w:line="277"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consolidated subsidiaries, as “Marriott Vacations Worldwide,” “MVW,” “we,” “us,” or “the Company.”</w:t>
      </w:r>
    </w:p>
    <w:p>
      <w:pPr>
        <w:spacing w:after="0" w:line="6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order to make this Annual Report easier to read, we refer throughout to (i) our Consolidated Financial Statements as our “Financial</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Statements,” (ii) our Consolidated Statements of Income as our “Income Statements,” (iii) our Consolidated Balance Sheets as our “Balance Sheets” and</w:t>
      </w:r>
    </w:p>
    <w:p>
      <w:pPr>
        <w:spacing w:after="0" w:line="32" w:lineRule="exact"/>
        <w:rPr>
          <w:sz w:val="20"/>
          <w:szCs w:val="20"/>
          <w:color w:val="auto"/>
        </w:rPr>
      </w:pPr>
    </w:p>
    <w:p>
      <w:pPr>
        <w:ind w:right="120" w:firstLine="8"/>
        <w:spacing w:after="0" w:line="255"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Mexico and the Caribbean as “North America.”</w:t>
      </w:r>
    </w:p>
    <w:p>
      <w:pPr>
        <w:spacing w:after="0" w:line="8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Additionally, throughout this Annual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Annual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w:t>
      </w:r>
      <w:r>
        <w:rPr>
          <w:rFonts w:ascii="Arial" w:cs="Arial" w:eastAsia="Arial" w:hAnsi="Arial"/>
          <w:sz w:val="9"/>
          <w:szCs w:val="9"/>
          <w:color w:val="auto"/>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6" w:lineRule="exact"/>
        <w:rPr>
          <w:sz w:val="20"/>
          <w:szCs w:val="20"/>
          <w:color w:val="auto"/>
        </w:rPr>
      </w:pPr>
    </w:p>
    <w:p>
      <w:pPr>
        <w:ind w:right="20" w:firstLine="648"/>
        <w:spacing w:after="0" w:line="207" w:lineRule="auto"/>
        <w:rPr>
          <w:sz w:val="20"/>
          <w:szCs w:val="20"/>
          <w:color w:val="auto"/>
        </w:rPr>
      </w:pPr>
      <w:r>
        <w:rPr>
          <w:rFonts w:ascii="Arial" w:cs="Arial" w:eastAsia="Arial" w:hAnsi="Arial"/>
          <w:sz w:val="18"/>
          <w:szCs w:val="18"/>
          <w:color w:val="auto"/>
        </w:rPr>
        <w:t>Brand names, trademarks, service marks and trade names that we own or license from Marriott International, Inc. or its affiliates (“Marriott International”) include Marriott Vacation Club</w:t>
      </w:r>
      <w:r>
        <w:rPr>
          <w:rFonts w:ascii="Arial" w:cs="Arial" w:eastAsia="Arial" w:hAnsi="Arial"/>
          <w:sz w:val="23"/>
          <w:szCs w:val="23"/>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9"/>
          <w:szCs w:val="9"/>
          <w:color w:val="auto"/>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9"/>
          <w:szCs w:val="9"/>
          <w:color w:val="auto"/>
        </w:rPr>
        <w:t>SM</w:t>
      </w:r>
      <w:r>
        <w:rPr>
          <w:rFonts w:ascii="Arial" w:cs="Arial" w:eastAsia="Arial" w:hAnsi="Arial"/>
          <w:sz w:val="18"/>
          <w:szCs w:val="18"/>
          <w:color w:val="auto"/>
        </w:rPr>
        <w:t>, Marriott Grand Residence Club</w:t>
      </w:r>
      <w:r>
        <w:rPr>
          <w:rFonts w:ascii="Arial" w:cs="Arial" w:eastAsia="Arial" w:hAnsi="Arial"/>
          <w:sz w:val="23"/>
          <w:szCs w:val="23"/>
          <w:color w:val="auto"/>
          <w:vertAlign w:val="superscript"/>
        </w:rPr>
        <w:t>®</w:t>
      </w:r>
      <w:r>
        <w:rPr>
          <w:rFonts w:ascii="Arial" w:cs="Arial" w:eastAsia="Arial" w:hAnsi="Arial"/>
          <w:sz w:val="18"/>
          <w:szCs w:val="18"/>
          <w:color w:val="auto"/>
        </w:rPr>
        <w:t>, Grand Residences by Marriott</w:t>
      </w:r>
      <w:r>
        <w:rPr>
          <w:rFonts w:ascii="Arial" w:cs="Arial" w:eastAsia="Arial" w:hAnsi="Arial"/>
          <w:sz w:val="23"/>
          <w:szCs w:val="23"/>
          <w:color w:val="auto"/>
          <w:vertAlign w:val="superscript"/>
        </w:rPr>
        <w:t>®</w:t>
      </w:r>
      <w:r>
        <w:rPr>
          <w:rFonts w:ascii="Arial" w:cs="Arial" w:eastAsia="Arial" w:hAnsi="Arial"/>
          <w:sz w:val="18"/>
          <w:szCs w:val="18"/>
          <w:color w:val="auto"/>
        </w:rPr>
        <w:t>, The Ritz-Carlton Destination Club</w:t>
      </w:r>
      <w:r>
        <w:rPr>
          <w:rFonts w:ascii="Arial" w:cs="Arial" w:eastAsia="Arial" w:hAnsi="Arial"/>
          <w:sz w:val="23"/>
          <w:szCs w:val="23"/>
          <w:color w:val="auto"/>
          <w:vertAlign w:val="superscript"/>
        </w:rPr>
        <w:t>®</w:t>
      </w:r>
      <w:r>
        <w:rPr>
          <w:rFonts w:ascii="Arial" w:cs="Arial" w:eastAsia="Arial" w:hAnsi="Arial"/>
          <w:sz w:val="18"/>
          <w:szCs w:val="18"/>
          <w:color w:val="auto"/>
        </w:rPr>
        <w:t>, Westin</w:t>
      </w:r>
      <w:r>
        <w:rPr>
          <w:rFonts w:ascii="Arial" w:cs="Arial" w:eastAsia="Arial" w:hAnsi="Arial"/>
          <w:sz w:val="23"/>
          <w:szCs w:val="23"/>
          <w:color w:val="auto"/>
          <w:vertAlign w:val="superscript"/>
        </w:rPr>
        <w:t>®</w:t>
      </w:r>
      <w:r>
        <w:rPr>
          <w:rFonts w:ascii="Arial" w:cs="Arial" w:eastAsia="Arial" w:hAnsi="Arial"/>
          <w:sz w:val="18"/>
          <w:szCs w:val="18"/>
          <w:color w:val="auto"/>
        </w:rPr>
        <w:t>, Sheraton</w:t>
      </w:r>
      <w:r>
        <w:rPr>
          <w:rFonts w:ascii="Arial" w:cs="Arial" w:eastAsia="Arial" w:hAnsi="Arial"/>
          <w:sz w:val="23"/>
          <w:szCs w:val="23"/>
          <w:color w:val="auto"/>
          <w:vertAlign w:val="superscript"/>
        </w:rPr>
        <w:t>®</w:t>
      </w:r>
      <w:r>
        <w:rPr>
          <w:rFonts w:ascii="Arial" w:cs="Arial" w:eastAsia="Arial" w:hAnsi="Arial"/>
          <w:sz w:val="18"/>
          <w:szCs w:val="18"/>
          <w:color w:val="auto"/>
        </w:rPr>
        <w:t>, (and to a limited extent) St. Regis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 Luxury Collection</w:t>
      </w:r>
      <w:r>
        <w:rPr>
          <w:rFonts w:ascii="Arial" w:cs="Arial" w:eastAsia="Arial" w:hAnsi="Arial"/>
          <w:sz w:val="23"/>
          <w:szCs w:val="23"/>
          <w:color w:val="auto"/>
          <w:vertAlign w:val="superscript"/>
        </w:rPr>
        <w:t>®</w:t>
      </w:r>
      <w:r>
        <w:rPr>
          <w:rFonts w:ascii="Arial" w:cs="Arial" w:eastAsia="Arial" w:hAnsi="Arial"/>
          <w:sz w:val="18"/>
          <w:szCs w:val="18"/>
          <w:color w:val="auto"/>
        </w:rPr>
        <w:t>. Marriott International’s affiliates include Starwood Hotels and Resorts Worldwide, Inc. (“Starwood”) and The Ritz-Carlton Hotel Company, L.L.C. (“The Ritz-Carlton Hotel Company”). We also refer to Marriott International’s Marriott Bonvoy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loyalty program, which replaced the Marriott Rewards</w:t>
      </w:r>
      <w:r>
        <w:rPr>
          <w:rFonts w:ascii="Arial" w:cs="Arial" w:eastAsia="Arial" w:hAnsi="Arial"/>
          <w:sz w:val="23"/>
          <w:szCs w:val="23"/>
          <w:color w:val="auto"/>
          <w:vertAlign w:val="superscript"/>
        </w:rPr>
        <w:t>®</w:t>
      </w:r>
      <w:r>
        <w:rPr>
          <w:rFonts w:ascii="Arial" w:cs="Arial" w:eastAsia="Arial" w:hAnsi="Arial"/>
          <w:sz w:val="18"/>
          <w:szCs w:val="18"/>
          <w:color w:val="auto"/>
        </w:rPr>
        <w:t>, Starwood Preferred Guest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SPG</w:t>
      </w:r>
      <w:r>
        <w:rPr>
          <w:rFonts w:ascii="Arial" w:cs="Arial" w:eastAsia="Arial" w:hAnsi="Arial"/>
          <w:sz w:val="23"/>
          <w:szCs w:val="23"/>
          <w:color w:val="auto"/>
          <w:vertAlign w:val="superscript"/>
        </w:rPr>
        <w:t>®</w:t>
      </w:r>
      <w:r>
        <w:rPr>
          <w:rFonts w:ascii="Arial" w:cs="Arial" w:eastAsia="Arial" w:hAnsi="Arial"/>
          <w:sz w:val="18"/>
          <w:szCs w:val="18"/>
          <w:color w:val="auto"/>
        </w:rPr>
        <w:t>, and The Ritz-Carlton Rewards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loyalty programs, as “Marriott Bonvoy.” “Hyatt Vacation Ownership” business refers to our group of businesses using the Hyatt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the vacation ownership business pursuant to an exclusive, global master license agreement with a subsidiary of Hyatt Hotels Corporation (“Hyatt”). We also refer to Hyatt’s World of Hyatt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loyalty program as “World of Hyatt.”</w:t>
      </w:r>
    </w:p>
    <w:p>
      <w:pPr>
        <w:spacing w:after="0" w:line="9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March 2020, the World Health Organization declared the coronavirus (COVID-19) outbreak a global pandemic (“COVID-19,” “the COVID-19 pandemic,” “the pandemic,” or “the virus”). The changes arising from the effects of the COVID-19 pandemic on the global economic landscape, outlook and, in particular, the travel and hospitality industries, have been swift and unexpected. The COVID-19 pandemic has caused significant disruptions in international and U.S. economies and markets. We discuss the impacts of the COVID-19 pandemic and its potential future implications throughout this report; however, the COVID-19 pandemic is evolving and its potential impact on our business in the future remains uncertain.</w:t>
      </w:r>
    </w:p>
    <w:p>
      <w:pPr>
        <w:spacing w:after="0" w:line="6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September 1, 2018 (the “Acquisition Date”), we completed the acquisition of ILG, LLC, formerly known as ILG, Inc. (“ILG”), through a series of transactions (the “ILG Acquisition”), after which ILG became our indirect wholly-owned subsidiary. The Financial Statements in this report for fiscal year 2018 include ILG’s results of operations from the Acquisition Date through December 31, 2018 and reflect the financial position of our combined company at December 31, 2018. We refer to our business associated with brands that existed prior to the ILG Acquisition as “Legacy-MVW” and to ILG’s business and brands that we acquired as “Legacy-ILG.”</w:t>
      </w:r>
    </w:p>
    <w:p>
      <w:pPr>
        <w:spacing w:after="0" w:line="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6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Unless otherwise specified, each reference to a particular year means the fiscal year ended on the date shown in the table below, rather than the corresponding calendar year. Beginning with 2017, we changed our financial reporting cycle to a calendar year-end and end-of-month quarterly reporting cycle. Prior to 2017, our fiscal year was a 52 or 53 week fiscal year that ended on the Friday nearest to December 31.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Fiscal Year</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Fiscal Year-End Date</w:t>
            </w:r>
          </w:p>
        </w:tc>
        <w:tc>
          <w:tcPr>
            <w:tcW w:w="41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92"/>
              </w:rPr>
              <w:t>Number of Days</w:t>
            </w:r>
          </w:p>
        </w:tc>
      </w:tr>
      <w:tr>
        <w:trPr>
          <w:trHeight w:val="226"/>
        </w:trPr>
        <w:tc>
          <w:tcPr>
            <w:tcW w:w="1400" w:type="dxa"/>
            <w:vAlign w:val="bottom"/>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366</w:t>
            </w:r>
          </w:p>
        </w:tc>
        <w:tc>
          <w:tcPr>
            <w:tcW w:w="1400" w:type="dxa"/>
            <w:vAlign w:val="bottom"/>
          </w:tcPr>
          <w:p>
            <w:pPr>
              <w:spacing w:after="0"/>
              <w:rPr>
                <w:sz w:val="19"/>
                <w:szCs w:val="19"/>
                <w:color w:val="auto"/>
              </w:rPr>
            </w:pPr>
          </w:p>
        </w:tc>
      </w:tr>
      <w:tr>
        <w:trPr>
          <w:trHeight w:val="229"/>
        </w:trPr>
        <w:tc>
          <w:tcPr>
            <w:tcW w:w="14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2019</w:t>
            </w: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365</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365</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366</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364</w:t>
            </w:r>
          </w:p>
        </w:tc>
        <w:tc>
          <w:tcPr>
            <w:tcW w:w="1400" w:type="dxa"/>
            <w:vAlign w:val="bottom"/>
          </w:tcPr>
          <w:p>
            <w:pPr>
              <w:spacing w:after="0"/>
              <w:rPr>
                <w:sz w:val="19"/>
                <w:szCs w:val="19"/>
                <w:color w:val="auto"/>
              </w:rPr>
            </w:pPr>
          </w:p>
        </w:tc>
      </w:tr>
      <w:tr>
        <w:trPr>
          <w:trHeight w:val="850"/>
        </w:trPr>
        <w:tc>
          <w:tcPr>
            <w:tcW w:w="1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We caution you that these statements are not guarantees and are subject to numerous risks and uncertainties, such as: the effects of the COVID-19 pandemic, including reduced demand for vacation ownership and exchange products and services, volatility in the international and national economy and credit markets, worker absenteeism, quarantines or other travel or health-related restrictions; the length and severity of the COVID-19 pandemic, including to the extent it is or may be impacted by vaccines; the pace of recovery following the COVID-19 pandemic; competitive conditions; the availability of capital to finance growth, and other matters referred to under the heading “Risk Factors” contained herein. We do not undertake any obligation to publicly update or revise any forward-looking statement, whether as a result of new information, future events, or otherwise. You should not put undue reliance on any forward-looking statements in this Annual Report. We do not have any intention or obligation to update forward-looking statements after the date of this Annual Report, except as required by law.</w:t>
      </w:r>
    </w:p>
    <w:p>
      <w:pPr>
        <w:spacing w:after="0" w:line="7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risk factors discussed in “Risk Factors” in this Annual Report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of the Marriott Vacation Club brand. We are also the exclusive worldwide developer, marketer and seller of vacation ownership and related products under The Ritz-Carlton Destination Club brand, and have the non-exclusive right to develop, market and sell whole ownership residential products under The Ritz-Carlton Residences brand. We have a license to use the St. Regis brand for specified fractional ownership products.</w:t>
      </w:r>
    </w:p>
    <w:p>
      <w:pPr>
        <w:spacing w:after="0" w:line="8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business operates in two reportable segments: Vacation Ownership and Exchange &amp; Third-Party Management. We were incorporated in Delaware in June 2011 and have been an independent public company since our November 2011 spin-off from Marriott International (the “Marriott Spin-Off”).</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198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Segment Revenue</w:t>
            </w:r>
          </w:p>
        </w:tc>
        <w:tc>
          <w:tcPr>
            <w:tcW w:w="1980" w:type="dxa"/>
            <w:vAlign w:val="bottom"/>
          </w:tcPr>
          <w:p>
            <w:pPr>
              <w:ind w:left="80"/>
              <w:spacing w:after="0"/>
              <w:rPr>
                <w:sz w:val="20"/>
                <w:szCs w:val="20"/>
                <w:color w:val="auto"/>
              </w:rPr>
            </w:pPr>
            <w:r>
              <w:rPr>
                <w:rFonts w:ascii="Arial" w:cs="Arial" w:eastAsia="Arial" w:hAnsi="Arial"/>
                <w:sz w:val="16"/>
                <w:szCs w:val="16"/>
                <w:b w:val="1"/>
                <w:bCs w:val="1"/>
                <w:color w:val="auto"/>
              </w:rPr>
              <w:t>% of Segment Revenue</w:t>
            </w:r>
          </w:p>
        </w:tc>
        <w:tc>
          <w:tcPr>
            <w:tcW w:w="1160" w:type="dxa"/>
            <w:vAlign w:val="bottom"/>
          </w:tcPr>
          <w:p>
            <w:pPr>
              <w:spacing w:after="0"/>
              <w:rPr>
                <w:sz w:val="18"/>
                <w:szCs w:val="18"/>
                <w:color w:val="auto"/>
              </w:rPr>
            </w:pPr>
          </w:p>
        </w:tc>
      </w:tr>
      <w:tr>
        <w:trPr>
          <w:trHeight w:val="226"/>
        </w:trPr>
        <w:tc>
          <w:tcPr>
            <w:tcW w:w="116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8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right="112"/>
              <w:spacing w:after="0"/>
              <w:rPr>
                <w:sz w:val="20"/>
                <w:szCs w:val="20"/>
                <w:color w:val="auto"/>
              </w:rPr>
            </w:pPr>
            <w:r>
              <w:rPr>
                <w:rFonts w:ascii="Arial" w:cs="Arial" w:eastAsia="Arial" w:hAnsi="Arial"/>
                <w:sz w:val="18"/>
                <w:szCs w:val="18"/>
                <w:color w:val="auto"/>
                <w:w w:val="94"/>
              </w:rPr>
              <w:t>89%</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8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ind w:right="92"/>
              <w:spacing w:after="0"/>
              <w:rPr>
                <w:sz w:val="20"/>
                <w:szCs w:val="20"/>
                <w:color w:val="auto"/>
              </w:rPr>
            </w:pPr>
            <w:r>
              <w:rPr>
                <w:rFonts w:ascii="Arial" w:cs="Arial" w:eastAsia="Arial" w:hAnsi="Arial"/>
                <w:sz w:val="18"/>
                <w:szCs w:val="18"/>
                <w:color w:val="auto"/>
                <w:w w:val="88"/>
              </w:rPr>
              <w:t>11%</w:t>
            </w:r>
          </w:p>
        </w:tc>
        <w:tc>
          <w:tcPr>
            <w:tcW w:w="1160" w:type="dxa"/>
            <w:vAlign w:val="bottom"/>
          </w:tcPr>
          <w:p>
            <w:pPr>
              <w:spacing w:after="0"/>
              <w:rPr>
                <w:sz w:val="19"/>
                <w:szCs w:val="19"/>
                <w:color w:val="auto"/>
              </w:rPr>
            </w:pPr>
          </w:p>
        </w:tc>
      </w:tr>
      <w:tr>
        <w:trPr>
          <w:trHeight w:val="248"/>
        </w:trPr>
        <w:tc>
          <w:tcPr>
            <w:tcW w:w="116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Segment Revenue</w:t>
            </w: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91"/>
              </w:rPr>
              <w:t>100%</w:t>
            </w:r>
          </w:p>
        </w:tc>
        <w:tc>
          <w:tcPr>
            <w:tcW w:w="116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24"/>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results of operations from 2020 include impacts related to the COVID-19 pandemic, which have been significantly adverse for our business and our industry. We continue to closely monitor and actively manage the ongoing effects of the COVID-19 pandemic on our business and operations, and to adapt our operations.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w:t>
      </w:r>
    </w:p>
    <w:p>
      <w:pPr>
        <w:spacing w:after="0" w:line="1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experienced an adverse impact on occupancy in our Vacation Ownership business beginning in mid-March 2020, which quickly accelerated later that month and continued throughout the remainder of 2020. In response to quickly evolving travel restrictions and restrictions on business operations, we closed all of our sales centers in March 2020, and beginning on March 25, 2020, we closed our resorts for rental guests with stays at our branded North America vacation ownership resorts. Due to low occupancy rates and based on various governmental mandates and advisories, we completely closed several of our resorts and reduced operations and amenities at our resorts that remained open. The closure of our sales centers and low occupancy levels led to a material decrease in contract sales and rental revenues from our vacation ownership business beginning in the second quarter.</w:t>
      </w:r>
    </w:p>
    <w:p>
      <w:pPr>
        <w:spacing w:after="0" w:line="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late-May, as many government restrictions were beginning to be relaxed, owner occupancy at our resorts began to grow and we began reopening resorts to rental guests; over 95 percent of our vacation ownership resorts had reopened to owners and rental guests by December 31, 2020. We reopened certain sales centers in June and opened additional sales centers in July and throughout the rest of the year. As of December 31, 2020, over 80 percent of our sales centers had re-opened. Extended or further closures of our sales centers may be required if demand declines again or if we are again impacted by government regulations requiring resort closures or restricting travel.</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&amp; Third-Party Management</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our Exchange &amp; Third-Party Management business, the closures of certain affiliated resorts and managed properties had a significant adverse impact on our business beginning at the end of the first quarter of 2020. A large number of resorts closed or ceased taking reservations, leading to a decrease in management and exchange revenues. As of December 31, 2020, over 90 percent of those affiliated resorts and managed properties had reopened or resumed taking reservations. Our Aqua-Aston business was materially adversely affected by travel restrictions, as most of its managed properties are located in Hawaii. Further resort and property closures may be required if demand declines again or if we are again impacted by government regulations requiring resort closures or restricting travel. Starting at the end of the first quarter of 2020, the COVID-19 pandemic depressed, and continues to depress, the demand for vacation rentals due to “stay-at-home” recommendations or requirements, quarantines, and the reluctance of consumers to travel.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late-March 2020, we drew down the remaining capacity of our $600 million Revolving Corporate Credit Facility (as defined in Footnote 17 “Debt” to our Financial Statements). We issued $500 million of senior secured debt in May 2020, which we used to repay amounts outstanding on our Revolving Corporate Credit Facility. As of December 31, 2020, we had $524 million in cash and cash equivalents on hand, and $597 million of availability under our Revolving Corporate Credit Facility. Subsequent to the end of 2020, we issued $575 million of convertible senior notes in order to help finance our recently announced acquisition of Welk Resorts.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Measures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accessing the capital markets, we also bolstered our liquidity through cost reduction. These efforts included reducing capital expenditures; suspending hiring and salary increases; reducing executive and other associate salaries; implementing furloughs and reduced work weeks for most of our associates; and modifying vendor and supplier payment terms where possible. Certain of these cost reduction efforts are still in place and we continue to implement these and other cost saving measures as the situation evolves.</w:t>
      </w:r>
    </w:p>
    <w:p>
      <w:pPr>
        <w:spacing w:after="0" w:line="7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As a result of the COVID-19 pandemic, in September 2020 a workforce reduction plan was approved. Approximately 3,000 associates were impacted beginning in November 2020. During 2020 we incurred $25 million in restructuring and related charges, primarily related to employee severance and benefit costs, excluding a portion that is included in cost reimbursements, and expect to incur an additional $5 million to $10 million in 2021.</w:t>
      </w:r>
    </w:p>
    <w:p>
      <w:pPr>
        <w:spacing w:after="0" w:line="4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Additionally, we implemented temporary adjustments to our cancellation policies for near-term travel for customers who were unable or unwilling to travel due to the COVID-19 pandemic during the first quarter of 2020 and continued these adjustments throughout the remainder of 2020.</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Health and Safety Measures</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response to the pandemic, we implemented a comprehensive, enhanced cleaning protocol entitled “Next Level of Clean” beginning in 2020 across our seven vacation ownership brands throughout the U.S., Caribbean, Europe, and Asia. The protocol utilizes enhanced cleaning materials and technologies, including electrostatic sprayers, micro-misting sanitation machines, and hospitality grade supplies. Our enhanced cleaning protocols reflect elevated cleanliness standards, cleaning frequency, and hospitality norms across our vacation ownership brands. Our new enhanced cleaning program was a result of collaboration with leaders in cleaning, hygiene, air purification and infection prevention services. These protocols also extend to our sales galleries for our vacation ownership brands, where, in addition to implementation of the new cleanliness standards and protocols, new practices have been implemented to provide presentations in a manner to allow for social distancing.</w:t>
      </w:r>
    </w:p>
    <w:p>
      <w:pPr>
        <w:spacing w:after="0" w:line="6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Additionally, we established safe work environment protocols for all associates across all brands and businesses. For associates, the guidelines establish protocols that implement a work environment that takes into account the health and well-being of our associates and regulations, laws, and recommendations from government authorities and health officials. Associates across all brands and businesses go through daily temperature screens and are given personal protective equipment, including facemasks, which are required to be worn in common areas and when social distancing is not possible.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ILG</w:t>
      </w:r>
    </w:p>
    <w:p>
      <w:pPr>
        <w:spacing w:after="0" w:line="12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On September 1, 2018, we completed the acquisition of ILG. The businesses acquired that are currently operated by the Company as part of its Vacation Ownership business include Hyatt Vacation Ownership (“HVO”) and Vistana Signature Experiences (“Vistana”), which includes vacation ownership products branded as Sheraton or Westin. The businesses acquired that are currently operated by the Company as part of its Exchange &amp; Third-Party Management business include Aqua-Aston Hospitality, Interval International, Trading Places International, and Vacation Resorts International.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7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operated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5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firstLine="648"/>
        <w:spacing w:after="0" w:line="273"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 at other resorts in the exchange service provider’s broader network of properties. The two leading exchange service providers are Interval International, our subsidiary, and RCI, LLC, a subsidiary of Travel + Leisure Co. (formerly known as Wyndham Destinations, Inc.) (“RCI”). Interval International’s network includes nearly 3,200 resorts, and RCI’s network includes over 6,000 affiliated resorts, as identified on RCI’s website.</w:t>
      </w:r>
    </w:p>
    <w:p>
      <w:pPr>
        <w:spacing w:after="0" w:line="5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2019, the U.S. vacation ownership community was comprised of over 1,500 resorts, representing more than 200,000 units. According to ARDA, sales in the U.S. market were approximately $10.5 billion in 2019. We believe there is considerable potential for further growth in the industry both in the U.S. and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Intellectual Property</w:t>
      </w:r>
    </w:p>
    <w:p>
      <w:pPr>
        <w:spacing w:after="0" w:line="121"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In connection with the Marriott Spin-Off, we entered into a License, Services, and Development Agreement (the “Marriott License Agreement”) with Marriott International and a License, Services, and Development Agreement (the “Ritz-Carlton License Agreement”) with The Ritz-Carlton Hotel Company, a subsidiary of Marriott International. Under these long-term license agreements that expire in 2090,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connection with our acquisition of ILG, we became the exclusive licensee for the Sheraton and Westin brands in vacation ownership. Our license agreements for these brands grant us the exclusive right, for the terms of the license agreements, to use certain Sheraton and Westin marks and intellectual property in our vacation ownership business, and the right to use the St. Regis brand for specified fractional ownership products. In addition, we assumed a license agreement with Hyatt that grants us the exclusive global use of the Hyatt brand in connection with the Hyatt Vacation Ownership business. Our license agreement with Hyatt was amended and restated effective January 2020.</w:t>
      </w:r>
    </w:p>
    <w:p>
      <w:pPr>
        <w:spacing w:after="0" w:line="6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Licensor Customer Loyalty Programs</w:t>
      </w:r>
    </w:p>
    <w:p>
      <w:pPr>
        <w:spacing w:after="0" w:line="11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program.</w:t>
      </w:r>
    </w:p>
    <w:p>
      <w:pPr>
        <w:spacing w:after="0" w:line="7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program.</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Drive profitable revenue growth</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intend to continue to generate growth in vacation ownership sales by leveraging our globally recognized brand names and targeting high-quality inventory that allows us to add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over 650,000 owner families around the world. We are concentrating on growing our tour flow cost effectively as we seek to grow first-time buyer tours through our strategy that emphasizes new sales locations and new marketing channels, including digital and social media marketing. As the vacation ownership business continues to grow sales and we add new resorts, our vacation ownership revenue streams from consumer financing, management fees, rentals and ancillary services are expected to grow.</w:t>
      </w:r>
    </w:p>
    <w:p>
      <w:pPr>
        <w:spacing w:after="0" w:line="69"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We also plan to grow our recurring revenues which tend to be less capital intensive than sales of vacation ownership. Our recurring revenues include management of resorts and owners’ associations, financing revenues, and membership, club and other revenues in both our Vacation Ownership and Exchange &amp; Third-Party Management segments. These revenues generally are more predictable due to the relatively fixed nature of resort operating expenses and, in the case of management and exchange revenues, contractual agreements that typically span many years and are often automatically renewable. Financing revenues are relatively stable as the majority of these revenues generated in any given year come from prior year note originations.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Maximize cash flow and optimize our capital structure, including by selectively pursuing capital efficient vacation ownership deal structures</w:t>
      </w:r>
    </w:p>
    <w:p>
      <w:pPr>
        <w:spacing w:after="0" w:line="1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Through the use of our points-based products, we are able to more closely match inventory investment with sales pace,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vacation ownership interests at lower costs than would be required to develop new inventory which increases margins on our sales of vacation ownership interests.</w:t>
      </w:r>
    </w:p>
    <w:p>
      <w:pPr>
        <w:spacing w:after="0" w:line="8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expect to maintain an attractive leverage profile. We intend to meet our ongoing liquidity needs through cash on hand, operating cash flow, our $600 million revolving credit facility (the “Revolving Corporate Credit Facility”), our $350 million non-recourse warehouse credit facility (the “Warehouse Credit Facility”), and continued access to the asset-backed securities (“ABS”) term financing market. We believe this will enable us to maintain a level of liquidity that provides financial flexibility, giving us the ability to pursue strategic growth opportunities, withstand potential future economic downturns, optimize our cost of capital, and pursue strategies for returning excess capital to shareholders.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Enhance digital capabilities</w:t>
      </w:r>
    </w:p>
    <w:p>
      <w:pPr>
        <w:spacing w:after="0" w:line="11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 key area of focus for us is the expansion of digital tools to drive more efficient digital marketing and enhance user experience for our owners and members of our exchange and other membership programs. We intend to build efficiencies in our cost of delivery of marketing and to enhance the experience of our owners by seeking new data driven approaches and enhancing digital tools.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Focus on the satisfaction of our owners, members, and guests as well as the engagement of our associates</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provide high-quality vacation experiences to our owners, members, and guests around the world and we believe that maintaining a high level of engagement across all of our customer groups is key to our success. We intend to maintain and improve their satisfaction with our products and services, which drives incremental sales as customers choose to spend more time at our resorts. Because our owners, members, and guests are our most cost-effective vacation ownership sales channels, we intend to continue to leverage our strong customer satisfaction to drive higher margin sales volumes. We intend to provide innovative offerings in new destinations to meet the needs of current and future customers and intend to develop new offerings to attract the next generation of travelers looking for a greater variety of experiences with the high quality standards expected from brands they trust.</w:t>
      </w:r>
    </w:p>
    <w:p>
      <w:pPr>
        <w:spacing w:after="0" w:line="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Engaging our associates in the success of our business continues to be one of our long-term core strategies. We understand the connection between the engagement of our associates and the satisfaction and engagement of our owners, members, and guests. At the heart of our culture is the belief that if we take care of our associates, they will take care of our owners, members, and guests and the owners, members, and guests will return again and again.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Transform our business in connection with the integration of the ILG Acquisition</w:t>
      </w:r>
    </w:p>
    <w:p>
      <w:pPr>
        <w:spacing w:after="0" w:line="11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we continue to further integrate the ILG businesses, we are simultaneously working to develop new growth channels and streamline our business processes through technology. We are focused on integrating functions, leveraging strengths across our businesses, and pursuing transformational opportunities that can further differentiate us from our competitors. We intend to advance our company analytics to encourage greater points utilization and usage of our exchange and travel products, provide enhanced resort experiences, and create more relevant and high value targeted leads for tour offers and vacation options. This is a multi-year process that is designed to achieve cost savings synergies and increase revenue opportunities.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competencies.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leading global vacation ownership company</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one of the world’s largest vacation ownership companies, based on number of owners, members, number of resorts and revenues. We believe our scale and global reach, coupled with our renowned brands and development, marketing, sales, exchange and management expertise, help us achieve operational efficiencies and support future growth opportunities. Our size allows us to provide owners, members, and guests with the flexibility of a wide variety of experiences within our high-quality resort portfolio, coupled with the ease and certainty of working with a single trusted provider. We also believe our size helps us obtain better financing terms from lenders, achieve operational cost savings from our increased scale, and attract talented management and associates. Our Interval International network includes members and resorts from our Marriott, Westin, Sheraton and Hyatt clubs that can attract developers and homeowners associations to affiliate with the network and provide an opportunity for their owners to exchange into our branded resorts, as well as other member resorts that are a part of the quality international network.</w:t>
      </w:r>
    </w:p>
    <w:p>
      <w:pPr>
        <w:spacing w:after="0" w:line="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Marriott Vacation Club Pulse brand extension features unique properties that embrace the spirit and culture of their urban locations, creating an authentic sense of place while delivering easy access to local interests, attractions and transportation.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Premier global brands with access to expansive customer bases</w:t>
      </w:r>
    </w:p>
    <w:p>
      <w:pPr>
        <w:spacing w:after="0" w:line="11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believe that our exclusive licenses with Marriott International and Hyatt for premier global brands in the vacation ownership business provide us with a meaningful competitive advantage. Through seven brands that we license from Marriott International for use in vacation ownership, we benefit from exclusive long-term access to the 147 million members in the Marriott Bonvoy loyalty program as of December 31, 2020. Through our relationship with Hyatt, we benefit from access to members of the World of Hyatt loyalty program, which includes over 25 million members as of December 31, 2020. We believe our access to guests with an affinity for our brands aids our marketing efforts and significantly enhances our ability to drive future sales, as we predominantly generate vacation ownership interest sales through brand loyalty-affiliated sales channels. We expect to continue to leverage our exclusive call transfer arrangements, on-site marketing at Marriott branded hotels, and use of certain exclusive marketing rights to increase sales across all of our Marriott-affiliated vacation ownership properties.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 large, highly satisfied customer base. Owner and member satisfaction is evidenced both by positive historical survey responses and higher than industry average historical resort occupancy for our Vacation Ownership segment. We believe that strong customer satisfaction and brand loyalty result in more frequent use of our products, increase in member retention, and encourage owners to purchase additional products and to recommend our products to friends and family, which in turn generates higher revenues.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efficient business model providing strong free cash flow and financial flexibility.</w:t>
      </w:r>
    </w:p>
    <w:p>
      <w:pPr>
        <w:spacing w:after="0" w:line="11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believe that our scale, recurring revenue fee streams and enhanced margin profile will enable us to maintain flexibility for continued organic growth, strategic acquisitions and debt repayment. The proportion of our total revenue excluding cost reimbursements derived from sources other than the sale of vacation ownership interests has increased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 w:name="page10"/>
    <w:bookmarkEnd w:id="9"/>
    <w:p>
      <w:pPr>
        <w:ind w:right="200"/>
        <w:spacing w:after="0" w:line="308" w:lineRule="auto"/>
        <w:rPr>
          <w:sz w:val="20"/>
          <w:szCs w:val="20"/>
          <w:color w:val="auto"/>
        </w:rPr>
      </w:pPr>
      <w:r>
        <w:rPr>
          <w:rFonts w:ascii="Arial" w:cs="Arial" w:eastAsia="Arial" w:hAnsi="Arial"/>
          <w:sz w:val="17"/>
          <w:szCs w:val="17"/>
          <w:color w:val="auto"/>
        </w:rPr>
        <w:t>continues to increase. Our Exchange &amp; Third-Party Management businesses also create ample opportunities to realize recurring higher-margin, fee-based revenue streams with modest required capital expenditures, enhancing our margins and free cash flow generation over time.</w:t>
      </w:r>
    </w:p>
    <w:p>
      <w:pPr>
        <w:spacing w:after="0" w:line="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deal structures, including working with third parties that develop new inventory or convert previously built units that are sold to us close to when such inventory is needed to support sales, is expected to support strong free cash flow generation.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Our seasoned management team is led by Stephen P. Weisz, our Chief Executive Officer. Mr. Weisz has served as our Chief Executive Officer since 2011, and as our President from 1996 through December 2020. Mr. Weisz has over 48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ten executive officers have an average of nearly 28 years of total combined experience at Marriott Vacations Worldwide, our subsidiary companies, and Marriott International.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Engaged associates delivering high levels of customer service driving repeat customers</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believe that our associates provide superior customer service and this dedication to serving the customer enhances our competitive position. A significant portion of our vacation ownership contract sales are historically to existing owners, which enables them to enjoy longer stays and have greater flexibility in their vacation choices. Sales to existing owners typically have significantly lower sales and marketing costs than sales to new owners. We leverage outstanding associate engagement and strong corporate culture to deliver positive customer experiences in sales, marketing, exchange, management and resort operations.</w:t>
      </w:r>
    </w:p>
    <w:p>
      <w:pPr>
        <w:spacing w:after="0" w:line="8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survey our associates regularly through an external survey provider to understand their satisfaction and engagement, defined as how passionate employees are about the company’s mission and their willingness to “go the extra mile” to see it succeed. We have historically ranked highly compared to other companies participating in such surveys.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 SEGMENT</w:t>
      </w:r>
    </w:p>
    <w:p>
      <w:pPr>
        <w:spacing w:after="0" w:line="121"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Vacation Ownership segment develops, markets, sells,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49"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As of December 31, 2020, our Vacation Ownership segment had more than 100 resorts and over 650,000 owner families. The Vacation Ownership segment represented 88 percent of our consolidated revenue for 2020.</w:t>
      </w:r>
    </w:p>
    <w:tbl>
      <w:tblPr>
        <w:tblLayout w:type="fixed"/>
        <w:tblInd w:w="0" w:type="dxa"/>
        <w:tblCellMar>
          <w:top w:w="0" w:type="dxa"/>
          <w:left w:w="0" w:type="dxa"/>
          <w:bottom w:w="0" w:type="dxa"/>
          <w:right w:w="0" w:type="dxa"/>
        </w:tblCellMar>
      </w:tblPr>
      <w:tr>
        <w:trPr>
          <w:trHeight w:val="163"/>
        </w:trPr>
        <w:tc>
          <w:tcPr>
            <w:tcW w:w="1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jc w:val="center"/>
              <w:ind w:right="173"/>
              <w:spacing w:after="0" w:line="163" w:lineRule="exact"/>
              <w:rPr>
                <w:sz w:val="20"/>
                <w:szCs w:val="20"/>
                <w:color w:val="auto"/>
              </w:rPr>
            </w:pPr>
            <w:r>
              <w:rPr>
                <w:rFonts w:ascii="Arial" w:cs="Arial" w:eastAsia="Arial" w:hAnsi="Arial"/>
                <w:sz w:val="16"/>
                <w:szCs w:val="16"/>
                <w:b w:val="1"/>
                <w:bCs w:val="1"/>
                <w:color w:val="auto"/>
                <w:w w:val="95"/>
              </w:rPr>
              <w:t>2020</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2"/>
          </w:tcPr>
          <w:p>
            <w:pPr>
              <w:jc w:val="center"/>
              <w:ind w:right="1500"/>
              <w:spacing w:after="0" w:line="162" w:lineRule="exact"/>
              <w:rPr>
                <w:sz w:val="20"/>
                <w:szCs w:val="20"/>
                <w:color w:val="auto"/>
              </w:rPr>
            </w:pPr>
            <w:r>
              <w:rPr>
                <w:rFonts w:ascii="Arial" w:cs="Arial" w:eastAsia="Arial" w:hAnsi="Arial"/>
                <w:sz w:val="16"/>
                <w:szCs w:val="16"/>
                <w:b w:val="1"/>
                <w:bCs w:val="1"/>
                <w:color w:val="auto"/>
                <w:w w:val="92"/>
              </w:rPr>
              <w:t>Vacation Ownership</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2"/>
          </w:tcPr>
          <w:p>
            <w:pPr>
              <w:jc w:val="center"/>
              <w:ind w:right="1500"/>
              <w:spacing w:after="0"/>
              <w:rPr>
                <w:sz w:val="20"/>
                <w:szCs w:val="20"/>
                <w:color w:val="auto"/>
              </w:rPr>
            </w:pPr>
            <w:r>
              <w:rPr>
                <w:rFonts w:ascii="Arial" w:cs="Arial" w:eastAsia="Arial" w:hAnsi="Arial"/>
                <w:sz w:val="16"/>
                <w:szCs w:val="16"/>
                <w:b w:val="1"/>
                <w:bCs w:val="1"/>
                <w:color w:val="auto"/>
                <w:w w:val="88"/>
              </w:rPr>
              <w:t>Segment Revenues</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 of vacation ownership products</w:t>
            </w:r>
          </w:p>
        </w:tc>
        <w:tc>
          <w:tcPr>
            <w:tcW w:w="28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Resort management and other services</w:t>
            </w: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356</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Rental</w:t>
            </w:r>
          </w:p>
        </w:tc>
        <w:tc>
          <w:tcPr>
            <w:tcW w:w="2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Financing</w:t>
            </w: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265</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reimbursements</w:t>
            </w:r>
          </w:p>
        </w:tc>
        <w:tc>
          <w:tcPr>
            <w:tcW w:w="2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b w:val="1"/>
                <w:bCs w:val="1"/>
                <w:color w:val="auto"/>
              </w:rPr>
              <w:t>TOTAL REVENUES</w:t>
            </w:r>
          </w:p>
        </w:tc>
        <w:tc>
          <w:tcPr>
            <w:tcW w:w="28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60" w:type="dxa"/>
            <w:vAlign w:val="bottom"/>
            <w:vMerge w:val="restart"/>
          </w:tcPr>
          <w:p>
            <w:pPr>
              <w:jc w:val="right"/>
              <w:ind w:right="20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12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design, build, manage and maintain our properties at upper upscale and luxury levels primarily under the following brands:</w:t>
      </w:r>
    </w:p>
    <w:p>
      <w:pPr>
        <w:spacing w:after="0" w:line="113"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Marriott Vacation Club </w:t>
      </w:r>
      <w:r>
        <w:rPr>
          <w:rFonts w:ascii="Arial" w:cs="Arial" w:eastAsia="Arial" w:hAnsi="Arial"/>
          <w:sz w:val="17"/>
          <w:szCs w:val="17"/>
          <w:color w:val="auto"/>
        </w:rPr>
        <w:t>is a collection of upper upscale vacation ownership programs with a diverse portfolio of resorts and timeshare villas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accommodations throughout the U.S., Caribbean, Europe, Asia, and Australia. Marriott Vacation Club provides owners and their families with the flexibility to enjoy a wide variety of vacation experiences that are characterized by the consistent high quality and warm hospitality for which the Marriott name has become known. Marriott Vacation Club Pulse, a brand extension of Marriott Vacation Club, offers properties in the heart of vibrant cities, including San Francisco and New York City, among others. Because of their urban locations, Marriott Vacation Club Pulse properties typically offer limited on-site amenities and may include smaller guest rooms without separate living areas and kitchens.</w:t>
      </w:r>
    </w:p>
    <w:p>
      <w:pPr>
        <w:spacing w:after="0" w:line="6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Sheraton Vacation Club </w:t>
      </w:r>
      <w:r>
        <w:rPr>
          <w:rFonts w:ascii="Arial" w:cs="Arial" w:eastAsia="Arial" w:hAnsi="Arial"/>
          <w:sz w:val="18"/>
          <w:szCs w:val="18"/>
          <w:color w:val="auto"/>
        </w:rPr>
        <w:t>provides enriching and unexpected vacation experiences in fun family destinations like Florida, South Carolina and</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This collection of Sheraton-branded upper upscale vacation ownership resorts allows owners and guests to relax, play and experience what the world has to offer. Sheraton Vacation Club resorts are part of the Vistana Signature Network.</w:t>
      </w:r>
    </w:p>
    <w:p>
      <w:pPr>
        <w:spacing w:after="0" w:line="68"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b w:val="1"/>
          <w:bCs w:val="1"/>
          <w:color w:val="auto"/>
        </w:rPr>
        <w:t xml:space="preserve">Westin Vacation Club </w:t>
      </w:r>
      <w:r>
        <w:rPr>
          <w:rFonts w:ascii="Arial" w:cs="Arial" w:eastAsia="Arial" w:hAnsi="Arial"/>
          <w:sz w:val="18"/>
          <w:szCs w:val="18"/>
          <w:color w:val="auto"/>
        </w:rPr>
        <w:t>is a collection of Westin-branded upper upscale vacation ownership resorts located in some of the most sought-after</w:t>
      </w:r>
      <w:r>
        <w:rPr>
          <w:rFonts w:ascii="Arial" w:cs="Arial" w:eastAsia="Arial" w:hAnsi="Arial"/>
          <w:sz w:val="18"/>
          <w:szCs w:val="18"/>
          <w:b w:val="1"/>
          <w:bCs w:val="1"/>
          <w:color w:val="auto"/>
        </w:rPr>
        <w:t xml:space="preserve"> </w:t>
      </w:r>
      <w:r>
        <w:rPr>
          <w:rFonts w:ascii="Arial" w:cs="Arial" w:eastAsia="Arial" w:hAnsi="Arial"/>
          <w:sz w:val="18"/>
          <w:szCs w:val="18"/>
          <w:color w:val="auto"/>
        </w:rPr>
        <w:t>destinations and designed with well-being in mind. From the world-renowned Heavenly Bed to an energizing WestinWORKOUT and revitalizing Heavenly Spa treatments, every element of a vacation stay is created to leave owners and guests feeling better than when they arrived. Westin Vacation Club resorts are part of the Vistana Signature Network.</w:t>
      </w:r>
    </w:p>
    <w:p>
      <w:pPr>
        <w:spacing w:after="0" w:line="7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Grand Residences by Marriott </w:t>
      </w:r>
      <w:r>
        <w:rPr>
          <w:rFonts w:ascii="Arial" w:cs="Arial" w:eastAsia="Arial" w:hAnsi="Arial"/>
          <w:sz w:val="17"/>
          <w:szCs w:val="17"/>
          <w:color w:val="auto"/>
        </w:rPr>
        <w:t>provides vacation ownership through fractional real estate and whole ownership offerings. Grand Residences by</w:t>
      </w:r>
      <w:r>
        <w:rPr>
          <w:rFonts w:ascii="Arial" w:cs="Arial" w:eastAsia="Arial" w:hAnsi="Arial"/>
          <w:sz w:val="17"/>
          <w:szCs w:val="17"/>
          <w:b w:val="1"/>
          <w:bCs w:val="1"/>
          <w:color w:val="auto"/>
        </w:rPr>
        <w:t xml:space="preserve"> </w:t>
      </w:r>
      <w:r>
        <w:rPr>
          <w:rFonts w:ascii="Arial" w:cs="Arial" w:eastAsia="Arial" w:hAnsi="Arial"/>
          <w:sz w:val="17"/>
          <w:szCs w:val="17"/>
          <w:color w:val="auto"/>
        </w:rPr>
        <w:t>Marriott is dedicated to providing carefree property ownership. The accommodations for this brand are similar to those we offer under the Marriott Vacation Club brand, but the duration of the vacation ownership interest is longer, ranging between three and thirteen weeks.</w:t>
      </w:r>
    </w:p>
    <w:p>
      <w:pPr>
        <w:spacing w:after="0" w:line="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The Ritz-Carlton Destination Club </w:t>
      </w:r>
      <w:r>
        <w:rPr>
          <w:rFonts w:ascii="Arial" w:cs="Arial" w:eastAsia="Arial" w:hAnsi="Arial"/>
          <w:sz w:val="18"/>
          <w:szCs w:val="18"/>
          <w:color w:val="auto"/>
        </w:rPr>
        <w:t>is a vacation ownership program that provides luxurious vacation experiences for members and their families</w:t>
      </w:r>
      <w:r>
        <w:rPr>
          <w:rFonts w:ascii="Arial" w:cs="Arial" w:eastAsia="Arial" w:hAnsi="Arial"/>
          <w:sz w:val="18"/>
          <w:szCs w:val="18"/>
          <w:b w:val="1"/>
          <w:bCs w:val="1"/>
          <w:color w:val="auto"/>
        </w:rPr>
        <w:t xml:space="preserve"> </w:t>
      </w:r>
      <w:r>
        <w:rPr>
          <w:rFonts w:ascii="Arial" w:cs="Arial" w:eastAsia="Arial" w:hAnsi="Arial"/>
          <w:sz w:val="18"/>
          <w:szCs w:val="18"/>
          <w:color w:val="auto"/>
        </w:rPr>
        <w:t>commensurate with the legacy of The Ritz-Carlton brand. The Ritz-Carlton Destination Club resorts include luxury villas and resort amenities that offer inspirational vacation lifestyles tailored to every member’s needs and expectations. The Ritz-Carlton Destination Club resorts typically feature two, three and four bedroom units that usually include marble foyers, walk-in closets, custom kitchen cabinetry and luxury resort amenities such as large feature swimming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81"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75"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b w:val="1"/>
          <w:bCs w:val="1"/>
          <w:color w:val="auto"/>
        </w:rPr>
        <w:t xml:space="preserve">St. Regis Residence Club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Luxury Collection </w:t>
      </w:r>
      <w:r>
        <w:rPr>
          <w:rFonts w:ascii="Arial" w:cs="Arial" w:eastAsia="Arial" w:hAnsi="Arial"/>
          <w:sz w:val="18"/>
          <w:szCs w:val="18"/>
          <w:color w:val="auto"/>
        </w:rPr>
        <w:t>offer luxury real estate and distinctive privileges to members who embrace the art of</w:t>
      </w:r>
      <w:r>
        <w:rPr>
          <w:rFonts w:ascii="Arial" w:cs="Arial" w:eastAsia="Arial" w:hAnsi="Arial"/>
          <w:sz w:val="18"/>
          <w:szCs w:val="18"/>
          <w:b w:val="1"/>
          <w:bCs w:val="1"/>
          <w:color w:val="auto"/>
        </w:rPr>
        <w:t xml:space="preserve"> </w:t>
      </w:r>
      <w:r>
        <w:rPr>
          <w:rFonts w:ascii="Arial" w:cs="Arial" w:eastAsia="Arial" w:hAnsi="Arial"/>
          <w:sz w:val="18"/>
          <w:szCs w:val="18"/>
          <w:color w:val="auto"/>
        </w:rPr>
        <w:t>living in unforgettable destinations. For connoisseurs who desire the finest in luxury living, magnificent residences exude the timeless grandeur and glamour synonymous with the illustrious past of the St. Regis brand</w:t>
      </w:r>
      <w:r>
        <w:rPr>
          <w:rFonts w:ascii="Arial" w:cs="Arial" w:eastAsia="Arial" w:hAnsi="Arial"/>
          <w:sz w:val="18"/>
          <w:szCs w:val="18"/>
          <w:b w:val="1"/>
          <w:bCs w:val="1"/>
          <w:color w:val="auto"/>
        </w:rPr>
        <w:t>.</w:t>
      </w:r>
    </w:p>
    <w:p>
      <w:pPr>
        <w:spacing w:after="0" w:line="68"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b w:val="1"/>
          <w:bCs w:val="1"/>
          <w:color w:val="auto"/>
        </w:rPr>
        <w:t xml:space="preserve">Hyatt Residence Club </w:t>
      </w:r>
      <w:r>
        <w:rPr>
          <w:rFonts w:ascii="Arial" w:cs="Arial" w:eastAsia="Arial" w:hAnsi="Arial"/>
          <w:sz w:val="18"/>
          <w:szCs w:val="18"/>
          <w:color w:val="auto"/>
        </w:rPr>
        <w:t>is a vacation ownership program that provides flexible access to global travel experiences through a diverse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boutique upper upscale residential-style retreats. Set in unique destinations from Maui, Carmel and Aspen to Sedona, San Antonio and Key West, Hyatt Residence Club resorts deliver genuine Hyatt care.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Points-Based Vacation Ownership Products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sell the majority of our products through points-based ownership programs, including Marriott Vacation Club Destinations, Sheraton Flex, Westin Flex, Westin Aventuras, and the Hyatt Residence Club Portfolio Program.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ind w:right="180"/>
        <w:spacing w:after="0" w:line="279" w:lineRule="auto"/>
        <w:rPr>
          <w:sz w:val="20"/>
          <w:szCs w:val="20"/>
          <w:color w:val="auto"/>
        </w:rPr>
      </w:pPr>
      <w:r>
        <w:rPr>
          <w:rFonts w:ascii="Arial" w:cs="Arial" w:eastAsia="Arial" w:hAnsi="Arial"/>
          <w:sz w:val="17"/>
          <w:szCs w:val="17"/>
          <w:color w:val="auto"/>
        </w:rPr>
        <w:t>vacation experiences, which may include cruises, airline travel, guided tours, safaris and other unique vacation alternatives.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that particular single site using points in a similar use fashion to the other points based products.</w:t>
      </w:r>
    </w:p>
    <w:p>
      <w:pPr>
        <w:spacing w:after="0" w:line="6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points programs allow owners to bank and borrow their annual point allotments, access other locations through the applicable internal exchange programs that we operate, and access Interval International’s network of nearly 3,200 affiliated resorts. Owners can also trade their vacation ownership usage rights for Marriott Bonvoy points or World of Hyatt points, as applicable, which can be used to access participating hotels or redeemed for airline miles or other merchandise offered through such customer loyalty program. Our points-based products offer usage in perpetuity or for a term of years, and may consist of real estate interests or a contractual right-to-use.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Weeks-Based Vacation Ownership Products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continue to sell Marriott Vacation Club, Westin, Sheraton and Hyatt branded weeks-based vacation ownership products in select markets, including in countries where legal and tax constraints currently limit our ability to include those locations in one of our existing points-based programs. Our products include multi-week vacation ownership interests in specific Grand Residences by Marriott, St. Regis Residence Club, The Luxury Collection Residence Club, and The Ritz-Carlton Destination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in Asia Pacific and Europe.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Global Exchange Opportunities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vacation ownership products are affiliated with the Interval International network.</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offer our existing Marriott Vacation Club owners who hold weeks-based products the opportunity to participate, on a voluntary basis, in Marriott Vacation Club Destinations (“MVCD”), an exchange program through which many of MVCD’s vacation experiences are offered. All existing owners, whether or not they elect to participate in the MVCD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 As of the end of 2020, approximately 182,000 weeks-based owners have enrolled approximately 287,000 weeks in MVCD’s exchange program since its launch in 2010, with more than 236,000 total owners able to use points.</w:t>
      </w:r>
    </w:p>
    <w:p>
      <w:pPr>
        <w:spacing w:after="0" w:line="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Vistana Signature Network (“VSN”) provides Westin Vacation Club and Sheraton Vacation Club owners access to its affiliated resorts as well as the opportunity to exchange their points through the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four-month period in which they have exclusive occupancy rights at the related resort or points program without competition from other network members. During this home resort period, they can reserve occupancy based on the season and unit type purchased. As of December 31, 2020, VSN included more than 184,000 members.</w:t>
      </w:r>
    </w:p>
    <w:p>
      <w:pPr>
        <w:spacing w:after="0" w:line="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Hyatt Residence Club provides its owners internal exchange rights among Hyatt Residence Club resorts as well as the opportunity to trade their club points for World of Hyatt points which may be redeemed at participating Hyatt branded properties and exchanged through the Interval International network. Owners will receive Hyatt Residence Club points if they have not reserved at their home resort or through its points program during their allotted preference period or if they elect to convert to points earlier. As of December 31, 2020, this points-based membership exchange system served more than 31,000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generate most of our revenues from four primary sources: selling vacation ownership products; managing vacation ownership resorts, clubs, and owners’ associations; financing consumer purchases of vacation ownership products; and renting vacation ownership inventory.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source of revenue is the sale of vacation ownership interests.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external exchange service providers with which we are associated.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earn interest income on loans that we provide to purchasers of our vacation ownership interests, as well as loan servicing and other fees.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Ritz-Carlton, Sheraton and Westin brands and introduce them to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sell our upper upscale tier vacation ownership products under our brands primarily through our worldwide network of resort-based sales centers and certain off-site sales locations. Our vacation ownership interests are currently marketed for sale throughout the United States and in over 25 countries around the world, targeting customers who vacation regularly with a focus on family, relaxation and recreational activities. In 2020, over 90 percent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more than 80 global sales locations focused on the sale of vacation ownership interests. We utilize a number of marketing channels to attract qualified customers to our sales locations, including digital and social media marketing.</w:t>
      </w:r>
    </w:p>
    <w:p>
      <w:pPr>
        <w:spacing w:after="0" w:line="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2020, approximately 73 percent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w:t>
      </w:r>
    </w:p>
    <w:p>
      <w:pPr>
        <w:spacing w:after="0" w:line="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also market to existing Marriott and Hyatt customer loyalty program members and travelers who are staying in locations where we have like-branded resorts. We market extensively to guests in Marriott International or Hyatt hotels that are located near one of our sales locations. We also market through call transfer arrangements with Marriott International pursuant to which callers to certain of its reservation centers are asked if they would like to be transferred to one of our representatives that can tell them about our products. In addition, we operate other local marketing venues in various high-traffic areas. A significant part of our direct marketing activities are focused on prospects in the Marriott and Hyatt customer loyalty program databases and our in-house databases of qualified prospects. We offer guests who do not buy a vacation ownership interest during their initial tour the opportunity to purchase a return package for a future stay at our resorts. These return guests are nearly twice as likely to purchase as a first-time visitor.</w:t>
      </w:r>
    </w:p>
    <w:p>
      <w:pPr>
        <w:spacing w:after="0" w:line="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One of our key areas of focus is expanding our use of social media and digital marketing channels. We are focused on building stronger brand reputation associations via social media audience growth, community engagement, and data driven content marketing.</w:t>
      </w:r>
    </w:p>
    <w:p>
      <w:pPr>
        <w:spacing w:after="0" w:line="6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ind w:right="120" w:firstLine="648"/>
        <w:spacing w:after="0" w:line="259" w:lineRule="auto"/>
        <w:rPr>
          <w:sz w:val="20"/>
          <w:szCs w:val="20"/>
          <w:color w:val="auto"/>
        </w:rPr>
      </w:pPr>
      <w:r>
        <w:rPr>
          <w:rFonts w:ascii="Arial" w:cs="Arial" w:eastAsia="Arial" w:hAnsi="Arial"/>
          <w:sz w:val="18"/>
          <w:szCs w:val="18"/>
          <w:color w:val="auto"/>
        </w:rPr>
        <w:t>We believe consumers place a great deal of trust in the Marriott, Westin, Sheraton, Ritz-Carlton and Hyatt brands and the strength of these brands is important to our ability to attract qualified prospects in the marketplace. We maintain a prominent presence on the www.marriott.com, www.ritzcarlton.com and www.hyatt.com websites. Our proprietary sites include www.marriottvacationsworldwide.com, www.marriottvacationclub.com, www.ritzcarltonclub.com, www.vistana.com, www.theresidenceclub.com, and www.hyattresidenceclub.com.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secure inventory by building additional phases at our existing resorts, repurchasing previously sold inventory in the secondary market, repurchasing inventory as a result of owner loan or maintenance fee defaults, or developing or acquiring inventory at resorts in strategic markets. We proactively buy back previously sold vacation ownership interests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intend to continue to selectively pursue growth opportunities primarily in North America by targeting high-quality inventory that allows us to add desirable new destinations to our system with new on-site sales locations in ways that optimize the timing of our capital investments. These capital efficient vacation ownership deal structures may include working with third parties to develop new inventory or to convert previously built units to be sold to us close to when we need such inventory.</w:t>
      </w:r>
    </w:p>
    <w:p>
      <w:pPr>
        <w:spacing w:after="0" w:line="7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Approximately a quarter of our Vacation Ownership segment resorts are co-located with same-branded hotel properties. Co-location of our resorts with same-branded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5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4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or a resale on the secondary market,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external exchange service provider, as well as benefits that are incidental to the purchase of the vacation ownership interest. However, the purchaser on the secondary market may not be entitled to receive certain incidental benefits such as full access to our internal exchange programs or the right to trade their usage rights for Marriott Bonvoy points. Additionally, many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enter into a management agreement with the property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w:t>
      </w:r>
    </w:p>
    <w:p>
      <w:pPr>
        <w:spacing w:after="0" w:line="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ind w:right="40"/>
        <w:spacing w:after="0" w:line="263" w:lineRule="auto"/>
        <w:rPr>
          <w:sz w:val="20"/>
          <w:szCs w:val="20"/>
          <w:color w:val="auto"/>
        </w:rPr>
      </w:pPr>
      <w:r>
        <w:rPr>
          <w:rFonts w:ascii="Arial" w:cs="Arial" w:eastAsia="Arial" w:hAnsi="Arial"/>
          <w:sz w:val="18"/>
          <w:szCs w:val="18"/>
          <w:color w:val="auto"/>
        </w:rPr>
        <w:t>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points and to access other resorts through one of our internal exchange systems.</w:t>
      </w:r>
    </w:p>
    <w:p>
      <w:pPr>
        <w:spacing w:after="0" w:line="76"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5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Each management agreement requires the property owners’ association, trust association or other governing body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an owner defaults in payment of maintenance fees or other assessments, the property owners’ association typically has the right to foreclose on or revoke the defaulting owner’s vacation ownership interest. We have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 We generally do not face competition in our consumer financing business to finance sales of vacation ownership products.</w:t>
      </w:r>
    </w:p>
    <w:p>
      <w:pPr>
        <w:spacing w:after="0" w:line="7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2020, our financing propensity was 51 percent and the average loan originated by us for vacation ownership products totaled approximately $26,100, which represented 75 percent of the average purchase price. We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originated loans in 2020 was 13.1 percent and the average term was 12 years. Interest rates are fixed and a loan fully amortizes over the life of the loan. The average monthly mortgage payment for an owner who received a loan in 2020 was $338. We do not impose any prepayment penalties.</w:t>
      </w:r>
    </w:p>
    <w:p>
      <w:pPr>
        <w:spacing w:after="0" w:line="8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2020, approximately 94 percent of our loans were used to finance U.S.-based products. In our North America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2020, the average FICO score of our customers who were U.S. citizens or residents who financed a vacation ownership purchase was 731; 69 percent had a credit score of over 700, 87 percent had a credit score of over 650 and 96 percent had a credit score of over 600.</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right="420" w:firstLine="648"/>
        <w:spacing w:after="0" w:line="308" w:lineRule="auto"/>
        <w:rPr>
          <w:sz w:val="20"/>
          <w:szCs w:val="20"/>
          <w:color w:val="auto"/>
        </w:rPr>
      </w:pPr>
      <w:r>
        <w:rPr>
          <w:rFonts w:ascii="Arial" w:cs="Arial" w:eastAsia="Arial" w:hAnsi="Arial"/>
          <w:sz w:val="17"/>
          <w:szCs w:val="17"/>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3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3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vacation ownership business. Historically, we have sold these loans to institutional investors in the ABS market on a non-recourse basis.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2020, we completed one securitization transaction, which is discussed in detail in Footnote 16 “Securitized Debt” to our Financial Statements. On an ongoing basis, we have the ability to use our Warehouse Credit Facility to securitize eligible consumer loans derived from certain branded vacation ownership sales. Those loans may later be transferred to term securitization transactions in the ABS market, which we intend to continue to complete at least once per year. Since 2000, we have issued almost $7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our portfolio consisted of more than 100 properties with over 20,000 vacation ownership villas, also referred to as units, and over 30,000 keys in the following locations. A “key” is the lowest increment for reporting occupancy statistics based upon the mix of non-lock-off and lock-off villas. Lock-off villas represent two keys and non-lock-off villas represent one key.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Mainland U.S. and Hawaii</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 of Keys</w:t>
            </w:r>
          </w:p>
        </w:tc>
        <w:tc>
          <w:tcPr>
            <w:tcW w:w="216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 of</w:t>
            </w: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of Keys</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Resorts</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1,189</w:t>
            </w: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Massachusetts</w:t>
            </w:r>
          </w:p>
        </w:tc>
        <w:tc>
          <w:tcPr>
            <w:tcW w:w="3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84</w:t>
            </w:r>
          </w:p>
        </w:tc>
        <w:tc>
          <w:tcPr>
            <w:tcW w:w="2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South Carolina</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5,264</w:t>
            </w:r>
          </w:p>
        </w:tc>
        <w:tc>
          <w:tcPr>
            <w:tcW w:w="2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Missouri</w:t>
            </w:r>
          </w:p>
        </w:tc>
        <w:tc>
          <w:tcPr>
            <w:tcW w:w="114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216</w:t>
            </w:r>
          </w:p>
        </w:tc>
        <w:tc>
          <w:tcPr>
            <w:tcW w:w="2160" w:type="dxa"/>
            <w:vAlign w:val="bottom"/>
          </w:tcPr>
          <w:p>
            <w:pPr>
              <w:ind w:left="220"/>
              <w:spacing w:after="0"/>
              <w:rPr>
                <w:sz w:val="20"/>
                <w:szCs w:val="20"/>
                <w:color w:val="auto"/>
              </w:rPr>
            </w:pPr>
            <w:r>
              <w:rPr>
                <w:rFonts w:ascii="Arial" w:cs="Arial" w:eastAsia="Arial" w:hAnsi="Arial"/>
                <w:sz w:val="18"/>
                <w:szCs w:val="18"/>
                <w:color w:val="auto"/>
              </w:rPr>
              <w:t>Texas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1,037</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1,172</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Utah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Florida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7,989</w:t>
            </w:r>
          </w:p>
        </w:tc>
        <w:tc>
          <w:tcPr>
            <w:tcW w:w="2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8"/>
                <w:szCs w:val="18"/>
                <w:color w:val="auto"/>
              </w:rPr>
              <w:t>New Jersey</w:t>
            </w:r>
          </w:p>
        </w:tc>
        <w:tc>
          <w:tcPr>
            <w:tcW w:w="114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180</w:t>
            </w:r>
          </w:p>
        </w:tc>
        <w:tc>
          <w:tcPr>
            <w:tcW w:w="2160" w:type="dxa"/>
            <w:vAlign w:val="bottom"/>
          </w:tcPr>
          <w:p>
            <w:pPr>
              <w:ind w:left="220"/>
              <w:spacing w:after="0"/>
              <w:rPr>
                <w:sz w:val="20"/>
                <w:szCs w:val="20"/>
                <w:color w:val="auto"/>
              </w:rPr>
            </w:pPr>
            <w:r>
              <w:rPr>
                <w:rFonts w:ascii="Arial" w:cs="Arial" w:eastAsia="Arial" w:hAnsi="Arial"/>
                <w:sz w:val="18"/>
                <w:szCs w:val="18"/>
                <w:color w:val="auto"/>
              </w:rPr>
              <w:t>Virginia</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Hawaii</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4,768</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 York</w:t>
            </w:r>
          </w:p>
        </w:tc>
        <w:tc>
          <w:tcPr>
            <w:tcW w:w="114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228</w:t>
            </w: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Washington, D.C.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i w:val="1"/>
                <w:iCs w:val="1"/>
                <w:color w:val="auto"/>
              </w:rPr>
              <w:t>Caribbean and Mexico</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2"/>
              </w:rPr>
              <w:t># of Keys</w:t>
            </w: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Aruba</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1,211</w:t>
            </w:r>
          </w:p>
        </w:tc>
        <w:tc>
          <w:tcPr>
            <w:tcW w:w="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Virgin Islands</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512</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Bahamas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6"/>
              </w:rPr>
              <w:t>392</w:t>
            </w:r>
          </w:p>
        </w:tc>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West Indies</w:t>
            </w:r>
          </w:p>
        </w:tc>
        <w:tc>
          <w:tcPr>
            <w:tcW w:w="1140" w:type="dxa"/>
            <w:vAlign w:val="bottom"/>
            <w:gridSpan w:val="3"/>
          </w:tcPr>
          <w:p>
            <w:pPr>
              <w:jc w:val="center"/>
              <w:ind w:left="33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88</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Puerto Rico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164</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Mexico</w:t>
            </w:r>
          </w:p>
        </w:tc>
        <w:tc>
          <w:tcPr>
            <w:tcW w:w="114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79"/>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1,456</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i w:val="1"/>
                <w:iCs w:val="1"/>
                <w:color w:val="auto"/>
                <w:w w:val="99"/>
              </w:rPr>
              <w:t>Europe and Asia Pacific</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of Keys</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 of</w:t>
            </w:r>
          </w:p>
        </w:tc>
        <w:tc>
          <w:tcPr>
            <w:tcW w:w="2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2"/>
              </w:rPr>
              <w:t># of Keys</w:t>
            </w: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Resorts</w:t>
            </w: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202</w:t>
            </w:r>
          </w:p>
        </w:tc>
        <w:tc>
          <w:tcPr>
            <w:tcW w:w="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Indonesia</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161</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Spain</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6"/>
              </w:rPr>
              <w:t>735</w:t>
            </w:r>
          </w:p>
        </w:tc>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Thailand</w:t>
            </w:r>
          </w:p>
        </w:tc>
        <w:tc>
          <w:tcPr>
            <w:tcW w:w="1140" w:type="dxa"/>
            <w:vAlign w:val="bottom"/>
            <w:gridSpan w:val="3"/>
          </w:tcPr>
          <w:p>
            <w:pPr>
              <w:jc w:val="center"/>
              <w:ind w:left="330"/>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6"/>
              </w:rPr>
              <w:t>332</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Australia</w:t>
            </w:r>
          </w:p>
        </w:tc>
        <w:tc>
          <w:tcPr>
            <w:tcW w:w="114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7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Brands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86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 Resorts</w:t>
            </w:r>
          </w:p>
        </w:tc>
        <w:tc>
          <w:tcPr>
            <w:tcW w:w="1760" w:type="dxa"/>
            <w:vAlign w:val="bottom"/>
          </w:tcPr>
          <w:p>
            <w:pPr>
              <w:ind w:left="560"/>
              <w:spacing w:after="0"/>
              <w:rPr>
                <w:sz w:val="20"/>
                <w:szCs w:val="20"/>
                <w:color w:val="auto"/>
              </w:rPr>
            </w:pPr>
            <w:r>
              <w:rPr>
                <w:rFonts w:ascii="Arial" w:cs="Arial" w:eastAsia="Arial" w:hAnsi="Arial"/>
                <w:sz w:val="16"/>
                <w:szCs w:val="16"/>
                <w:b w:val="1"/>
                <w:bCs w:val="1"/>
                <w:color w:val="auto"/>
              </w:rPr>
              <w:t># of Keys</w:t>
            </w:r>
          </w:p>
        </w:tc>
      </w:tr>
      <w:tr>
        <w:trPr>
          <w:trHeight w:val="22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Marriott Vacation Club</w:t>
            </w: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18,884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Sheraton Vacation Club</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4,375</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Westin Vacation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4,587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Grand Residences by Marriott</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381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Ritz-Carlton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259</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St. Regis Residence Club and The Luxury Collection</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82</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 Residence Club</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1,521</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468</w:t>
            </w:r>
          </w:p>
        </w:tc>
      </w:tr>
      <w:tr>
        <w:trPr>
          <w:trHeight w:val="223"/>
        </w:trPr>
        <w:tc>
          <w:tcPr>
            <w:tcW w:w="76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30,557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Sheraton Kauai Resort</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Kauai, HI</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The Westin Resort &amp; Spa, Cancun</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Cancun, Mexico</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Westin Resort &amp; Spa, Puerto Vallarta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Puerto Vallarta, Mexico</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Hyatt Highlands Inn</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Carmel, CA</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 SEGMENT</w:t>
      </w:r>
    </w:p>
    <w:p>
      <w:pPr>
        <w:spacing w:after="0" w:line="121"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Our Exchange &amp; Third-Party Management segment includes exchange networks and membership programs comprised of nearly 3,200 resorts in over 90 nations and over 1.7 million members, as well as management of over 160 other resorts and lodging properties. We provide these services through a variety of brands including Interval International, Trading Places International, Vacation Resorts International and Aqua-Aston. The segment revenue generally is fee-based and derived from membership, exchange and rental transactions, property and owners’ association management, and other related products and services. The Exchange &amp; Third-Party Management segment represented 11 percent of our consolidated revenue for 2020.</w:t>
      </w:r>
    </w:p>
    <w:tbl>
      <w:tblPr>
        <w:tblLayout w:type="fixed"/>
        <w:tblInd w:w="520" w:type="dxa"/>
        <w:tblCellMar>
          <w:top w:w="0" w:type="dxa"/>
          <w:left w:w="0" w:type="dxa"/>
          <w:bottom w:w="0" w:type="dxa"/>
          <w:right w:w="0" w:type="dxa"/>
        </w:tblCellMar>
      </w:tblPr>
      <w:tr>
        <w:trPr>
          <w:trHeight w:val="164"/>
        </w:trPr>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jc w:val="center"/>
              <w:ind w:right="213"/>
              <w:spacing w:after="0" w:line="165" w:lineRule="exact"/>
              <w:rPr>
                <w:sz w:val="20"/>
                <w:szCs w:val="20"/>
                <w:color w:val="auto"/>
              </w:rPr>
            </w:pPr>
            <w:r>
              <w:rPr>
                <w:rFonts w:ascii="Arial" w:cs="Arial" w:eastAsia="Arial" w:hAnsi="Arial"/>
                <w:sz w:val="16"/>
                <w:szCs w:val="16"/>
                <w:b w:val="1"/>
                <w:bCs w:val="1"/>
                <w:color w:val="auto"/>
                <w:w w:val="89"/>
              </w:rPr>
              <w:t>2020</w:t>
            </w:r>
          </w:p>
        </w:tc>
      </w:tr>
      <w:tr>
        <w:trPr>
          <w:trHeight w:val="162"/>
        </w:trPr>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jc w:val="center"/>
              <w:ind w:right="213"/>
              <w:spacing w:after="0" w:line="162" w:lineRule="exact"/>
              <w:rPr>
                <w:sz w:val="20"/>
                <w:szCs w:val="20"/>
                <w:color w:val="auto"/>
              </w:rPr>
            </w:pPr>
            <w:r>
              <w:rPr>
                <w:rFonts w:ascii="Arial" w:cs="Arial" w:eastAsia="Arial" w:hAnsi="Arial"/>
                <w:sz w:val="16"/>
                <w:szCs w:val="16"/>
                <w:b w:val="1"/>
                <w:bCs w:val="1"/>
                <w:color w:val="auto"/>
                <w:w w:val="94"/>
              </w:rPr>
              <w:t>Exchange &amp; Third-Party Management</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86"/>
              </w:rPr>
              <w:t>Segment Revenues</w:t>
            </w:r>
          </w:p>
        </w:tc>
      </w:tr>
      <w:tr>
        <w:trPr>
          <w:trHeight w:val="22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Rental</w:t>
            </w:r>
          </w:p>
        </w:tc>
        <w:tc>
          <w:tcPr>
            <w:tcW w:w="3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300" w:type="dxa"/>
            <w:vAlign w:val="bottom"/>
            <w:shd w:val="clear" w:color="auto" w:fill="CCEEFF"/>
          </w:tcPr>
          <w:p>
            <w:pPr>
              <w:spacing w:after="0"/>
              <w:rPr>
                <w:sz w:val="19"/>
                <w:szCs w:val="19"/>
                <w:color w:val="auto"/>
              </w:rPr>
            </w:pP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Networks and Membership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Interval International</w:t>
      </w:r>
    </w:p>
    <w:p>
      <w:pPr>
        <w:spacing w:after="0" w:line="12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primary exchange offering is Interval International’s network, a membership-based exchange program which also provides a comprehensive package of value-added products and services to members and developers. Generally, individuals are enrolled by resort developers in connection with their purchase of vacation ownership interests from such resort developers, with initial membership fees being paid on behalf of members by the resort developers. Members may also enroll directly, for instance, when they purchase a vacation ownership interest through resale or owners’ association affiliation at a resort that participates in the Interval International network. Interval International has established multi-year relationships with resort developers, including leading independent developers and our branded vacation ownership programs, under exclusive affiliation agreements, which typically provide for continued resort participation following the agreement’s term.</w:t>
      </w:r>
    </w:p>
    <w:p>
      <w:pPr>
        <w:spacing w:after="0" w:line="6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traditional Interval International network members have the option, after their initial membership period ends, to renew their memberships for terms ranging from one to five years and paying their own membership fees directly to us. Alternatively, some resort developers incorporate the Interval International network membership fee into certain annual fees they charge to owners of vacation ownership interests at their resorts or vacation ownership clubs. As a result, membership in the Interval International network and, where applicable, the Interval Gold or Interval Platinum program (as described below), for these corporate members is automatically renewed through the period of their resort’s or club’s participation in the Interval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International network. As of December 31, 2020, 55 percent of total Interval International network members were traditional members and 45 percent were corporate members.</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Interval International recognizes certain of its eligible Interval International network resorts as either a “Select Resort,” a “Select Boutique Resort,” a “Premier Resort,” a “Premier Boutique Resort,” an “Elite Resort” or an “Elite Boutique Resort” based upon the satisfaction of qualifying criteria, inspection, member feedback, and other resort-specific factors. Over 40 percent of Interval International network resorts were recognized as a Select, Select Boutique, Premier, Premier Boutique, Elite or Elite Boutique Resort as of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Members are offered the ability to exchange usage rights in their vacation ownership interest for accommodations which are generally of comparable trading value to those relinquished, based on factors including location, quality, seasonality, unit attributes and time of relinquishment prior to occupancy.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Getaways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also offer additional vacation rental opportunities to members of the Interval International network and certain other membership or affinity programs at attractive rates through Getaways. Getaways allow members to rent resort accommodations for a fee, plus applicable taxes. Resort accommodations available as Getaways consist of seasonal oversupply of vacation ownership accommodations within the applicable exchange network, as well as resort accommodations we source specifically for use in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Interval Gold and Interval Platinum</w:t>
      </w:r>
    </w:p>
    <w:p>
      <w:pPr>
        <w:spacing w:after="0" w:line="11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Interval International network members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a concierge service, a hotel discount program and Interval Options, a service that allows members to relinquish annual occupancy rights in their vacation ownership interests towards the purchase of various travel products, including hotel, cruise, golf and spa vacations. Members are enrolled in these programs either by resort developers in connection with the initial purchase of their vacation ownership interests or by upgrading their membership directly.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Club Interval</w:t>
      </w:r>
    </w:p>
    <w:p>
      <w:pPr>
        <w:spacing w:after="0" w:line="11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This product gives owners of fixed or floating week vacation ownership interests the opportunity to use their resort week as points within the Interval International network. Club Interval members also receive all of the benefits of Interval Gold and can upgrade to Interval Platinum.</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Support for Interval International network resorts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Resort developers promote membership in our exchange programs and related value-added services as an important benefit of owning a vacation ownership interest. We offer developers a selection of sales and marketing materials. These materials, many of which are available in multiple languages, include brochures, publications, sales-office displays, resort directories and Interval HD, an online video channel featuring resort and destination overviews. In addition, we offer programs, including our Leisure Time Passport program, that resort developers use as a trial membership program for potential purchasers of vacation ownership interests.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Operational Support for Interval International network resorts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Interval International also makes available a comprehensive array of back-office servicing solutions to resort developers and resorts. For example, for an additional fee, we provide reservation services and billing and collection of maintenance fees and other amounts due to developers or owners’ associations. In addition, through consulting arrangements, we assist resort developers in the design of tailored vacation programs for owners of vacation ownership interests.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Places International</w:t>
      </w:r>
    </w:p>
    <w:p>
      <w:pPr>
        <w:spacing w:after="0" w:line="121"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Trading Places International provides exchange services to owners at certain of our managed timeshare properties as well as other direct-to-consumer exchanges that do not require a membership fee. For an annual fee, vacation owners may choose to join the upgraded Trading Places Prime program with additional benefits. Exchanges in these Trading Places programs are based on like value and upgrades are available upon payment of additional fees.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Business Development</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exchange businesses maintain corporate and consumer business development departments that are responsible for signing up new resorts, resort developers, and other businesses and implementing marketing strategies. We also develop printed and digital materials to promote membership participation, exchange opportunities and other value-added services to existing members, as well as for the Interval International business to secure new relationships with resort developers, owners’ associations and resorts, to obtain and retain members, and with other affinity partners, to provide value added travel benefits to their customers.</w:t>
      </w:r>
    </w:p>
    <w:p>
      <w:pPr>
        <w:spacing w:after="0" w:line="8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consumer marketing efforts revolve around the deepening of new and existing customer relationships and increasing engagement and loyalty of members through a number of channels including direct mail, telemarketing, and digital distribution as well as utilizing social media channels like Facebook and Instagram to inspire vacations, share stories and promote the vacation ownership lifestyle.</w:t>
      </w:r>
    </w:p>
    <w:p>
      <w:pPr>
        <w:spacing w:after="0" w:line="5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Interval International also markets products and services to resort developers and other parties in the vacation ownership industry through a series of business development initiatives. Our sales and services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vacation ownership interests. In addition, we sponsor, participate in and attend numerous industry conferences around the world to provide potential and existing industry participants opportunities to network and learn more about vacation ownership.</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Management</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provide resort management services for vacation ownership resorts and other third-party vacation property owners through Vacation Resorts International, Trading Places International and Aqua-Aston. Our services may include day-to-day operations of the resorts, maintenance of the resorts, preparation of reports, budgets, owners’ association administration, quality assurance and employee training. As of December 31, 2020, we provided third-party management services to over 160 resorts.</w:t>
      </w:r>
    </w:p>
    <w:p>
      <w:pPr>
        <w:spacing w:after="0" w:line="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Vacation Resorts International and Trading Places International provide management services to vacation ownership resorts pursuant to agreements with terms generally ranging from one to ten years, many of which are automatically renewable. Generally, our management fees are paid by the owners’ association and funded from the annual maintenance fees paid by the individual owners to the association. These maintenance fees represent each owner’s allocable share of the costs of operating and maintaining the resorts, which generally includes personnel, property taxes, insurance, a capital asset reserve to fund refurbishment and other related costs. The management fees we earn are highly predictable due to the relatively fixed nature of resort operating expenses. We are reimbursed for the costs incurred to perform our services, principally related to personnel providing on-site services. We also offer vacation rental services to these owners’ associations. These rentals are made online directly to consumers through our websites, www.vriresorts.com, and www.tradingplaces.com, through third-party online travel agencies, and through Interval International’s Getaways program.</w:t>
      </w:r>
    </w:p>
    <w:p>
      <w:pPr>
        <w:spacing w:after="0" w:line="57"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Aqua-Aston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7"/>
          <w:szCs w:val="17"/>
          <w:color w:val="auto"/>
        </w:rPr>
        <w:t>‑</w:t>
      </w:r>
      <w:r>
        <w:rPr>
          <w:rFonts w:ascii="Arial" w:cs="Arial" w:eastAsia="Arial" w:hAnsi="Arial"/>
          <w:sz w:val="17"/>
          <w:szCs w:val="17"/>
          <w:color w:val="auto"/>
        </w:rPr>
        <w:t>Aston directly to manage, market and rent their properties, generally pursuant to short</w:t>
      </w:r>
      <w:r>
        <w:rPr>
          <w:rFonts w:ascii="MS PGothic" w:cs="MS PGothic" w:eastAsia="MS PGothic" w:hAnsi="MS PGothic"/>
          <w:sz w:val="17"/>
          <w:szCs w:val="17"/>
          <w:color w:val="auto"/>
        </w:rPr>
        <w:t>‑</w:t>
      </w:r>
      <w:r>
        <w:rPr>
          <w:rFonts w:ascii="Arial" w:cs="Arial" w:eastAsia="Arial" w:hAnsi="Arial"/>
          <w:sz w:val="17"/>
          <w:szCs w:val="17"/>
          <w:color w:val="auto"/>
        </w:rPr>
        <w:t>term agreements.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reservations, sales and marketing, property accounting and information technology services.</w:t>
      </w:r>
    </w:p>
    <w:p>
      <w:pPr>
        <w:spacing w:after="0" w:line="102"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The success and continued growth of the Aqua-Aston business depends largely on our ability to source vacationers interested in booking vacation properties made available through our rental services. Our sales and marketing team in Honolulu, Hawaii, utilizes a variety of sales, marketing, revenue management and digital marketing initiatives to attract consumers and additional properties to Aqua</w:t>
      </w:r>
      <w:r>
        <w:rPr>
          <w:rFonts w:ascii="MS PGothic" w:cs="MS PGothic" w:eastAsia="MS PGothic" w:hAnsi="MS PGothic"/>
          <w:sz w:val="16"/>
          <w:szCs w:val="16"/>
          <w:color w:val="auto"/>
        </w:rPr>
        <w:t>‑</w:t>
      </w:r>
      <w:r>
        <w:rPr>
          <w:rFonts w:ascii="Arial" w:cs="Arial" w:eastAsia="Arial" w:hAnsi="Arial"/>
          <w:sz w:val="16"/>
          <w:szCs w:val="16"/>
          <w:color w:val="auto"/>
        </w:rPr>
        <w:t>Aston. The team in Hawaii utilizes many channels of distribution including traditional wholesale through tour operators and travel partners, online travel agencies and global distribution systems. In addition, Aqua</w:t>
      </w:r>
      <w:r>
        <w:rPr>
          <w:rFonts w:ascii="MS PGothic" w:cs="MS PGothic" w:eastAsia="MS PGothic" w:hAnsi="MS PGothic"/>
          <w:sz w:val="16"/>
          <w:szCs w:val="16"/>
          <w:color w:val="auto"/>
        </w:rPr>
        <w:t>‑</w:t>
      </w:r>
      <w:r>
        <w:rPr>
          <w:rFonts w:ascii="Arial" w:cs="Arial" w:eastAsia="Arial" w:hAnsi="Arial"/>
          <w:sz w:val="16"/>
          <w:szCs w:val="16"/>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various consumer websites including, www.aquaaston.com, www.aquaresorts.com, www.mauicondo.com, and others.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Corporate and Other consists of results not allocable to our segments, including company-wide general and administrative costs, corporate interest expense, ILG acquisition-related costs, and provision for income taxes. In addition, Corporate and Other includes the revenues and expenses relating to property owners’ associations consolidated under the relevant accounting guidance (“Consolidated Property Owners’ Associations”), which are not included in operating segment resource allocation decision-making.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Our revenue is influenced by the seasonal nature of travel. Within our Vacation Ownership segment, our sales and financing business experiences a modest impact from seasonality, with higher sales volumes during the traditional vacation periods. Our vacation ownership management businesses generally do not experience significant seasonality, with the exception of our resort operations revenue, which tends to be higher in the first quarter.</w:t>
      </w:r>
    </w:p>
    <w:p>
      <w:pPr>
        <w:spacing w:after="0" w:line="4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Competition in the vacation ownership industry is driven primarily by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8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and HomeAway, which offer rentals of homes and condominiums. Innovations that impact the industry may also lead to new products and services that could disrupt our business model and create new and stronger competitors.</w:t>
      </w:r>
    </w:p>
    <w:p>
      <w:pPr>
        <w:spacing w:after="0" w:line="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8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Recent and potential future consolidation in the highly fragmented vacation ownership industry may increase competition. Consolidation may create competitors that enjoy significant advantages resulting from, among other things, a lower cost of, and greater access to, capital and enhanced operating efficiencies.</w:t>
      </w:r>
    </w:p>
    <w:p>
      <w:pPr>
        <w:spacing w:after="0" w:line="76" w:lineRule="exact"/>
        <w:rPr>
          <w:sz w:val="20"/>
          <w:szCs w:val="20"/>
          <w:color w:val="auto"/>
        </w:rPr>
      </w:pPr>
    </w:p>
    <w:p>
      <w:pPr>
        <w:ind w:firstLine="180"/>
        <w:spacing w:after="0" w:line="219" w:lineRule="exact"/>
        <w:rPr>
          <w:sz w:val="20"/>
          <w:szCs w:val="20"/>
          <w:color w:val="auto"/>
        </w:rPr>
      </w:pPr>
      <w:r>
        <w:rPr>
          <w:rFonts w:ascii="Arial" w:cs="Arial" w:eastAsia="Arial" w:hAnsi="Arial"/>
          <w:sz w:val="18"/>
          <w:szCs w:val="18"/>
          <w:color w:val="auto"/>
        </w:rPr>
        <w:t>Our Interval International exchange business principally competes for developer and consumer market share with Travel + Leisure Co.’s subsidiary, RCI. Our subsidiary, Trading Places International, and several third parties operate in this industry with a significantly more limited scope of available accommodations. This business also faces increasing competition from points</w:t>
      </w:r>
      <w:r>
        <w:rPr>
          <w:rFonts w:ascii="MS PGothic" w:cs="MS PGothic" w:eastAsia="MS PGothic" w:hAnsi="MS PGothic"/>
          <w:sz w:val="18"/>
          <w:szCs w:val="18"/>
          <w:color w:val="auto"/>
        </w:rPr>
        <w:t>‑</w:t>
      </w:r>
      <w:r>
        <w:rPr>
          <w:rFonts w:ascii="Arial" w:cs="Arial" w:eastAsia="Arial" w:hAnsi="Arial"/>
          <w:sz w:val="18"/>
          <w:szCs w:val="18"/>
          <w:color w:val="auto"/>
        </w:rPr>
        <w:t>based vacation clubs and large resort developers, which operate their own internal exchange systems to facilitate exchanges for owners of vacation ownership interests at their resorts as they increase in size and scope. Increased consolidation in the industry enhances this competition. In addition, vacation clubs and resort developers may have direct exchange relationships with other developers.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0" w:name="page21"/>
    <w:bookmarkEnd w:id="20"/>
    <w:p>
      <w:pPr>
        <w:ind w:right="80" w:firstLine="648"/>
        <w:spacing w:after="0" w:line="259" w:lineRule="auto"/>
        <w:rPr>
          <w:sz w:val="20"/>
          <w:szCs w:val="20"/>
          <w:color w:val="auto"/>
        </w:rPr>
      </w:pPr>
      <w:r>
        <w:rPr>
          <w:rFonts w:ascii="Arial" w:cs="Arial" w:eastAsia="Arial" w:hAnsi="Arial"/>
          <w:sz w:val="18"/>
          <w:szCs w:val="18"/>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business is heavily regulated and compliance with regulations has a significant impact on our results of operations. We are subject to a wide variety of complex international, national, federal, state and local laws, regulations and policies in jurisdictions around the world. 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and other jurisdictions around the world. Other laws, regulations and policies primarily affect one of four areas of our business: real estate development activities; marketing and sales activities; lending activities; and resort management activities.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5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Many jurisdictions, including many jurisdictions in the United States, Asia Pacific and Europe, require that we file detailed registration or offering statements with regulatory authorities disclosing certain information regarding the vacation ownership interests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1" w:name="page22"/>
    <w:bookmarkEnd w:id="21"/>
    <w:p>
      <w:pPr>
        <w:ind w:right="20" w:firstLine="648"/>
        <w:spacing w:after="0" w:line="296" w:lineRule="auto"/>
        <w:rPr>
          <w:sz w:val="20"/>
          <w:szCs w:val="20"/>
          <w:color w:val="auto"/>
        </w:rPr>
      </w:pPr>
      <w:r>
        <w:rPr>
          <w:rFonts w:ascii="Arial" w:cs="Arial" w:eastAsia="Arial" w:hAnsi="Arial"/>
          <w:sz w:val="16"/>
          <w:szCs w:val="16"/>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5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lending activities are subject to a number of laws and regulations including those of applicable supervisory, regulatory and enforcement agencies such as, in the United States, the Consumer Financial Protection Bureau,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240" w:firstLine="648"/>
        <w:spacing w:after="0" w:line="305" w:lineRule="auto"/>
        <w:rPr>
          <w:sz w:val="20"/>
          <w:szCs w:val="20"/>
          <w:color w:val="auto"/>
        </w:rPr>
      </w:pPr>
      <w:r>
        <w:rPr>
          <w:rFonts w:ascii="Arial" w:cs="Arial" w:eastAsia="Arial" w:hAnsi="Arial"/>
          <w:sz w:val="16"/>
          <w:szCs w:val="16"/>
          <w:color w:val="auto"/>
        </w:rPr>
        <w:t>We recognize that our industry leadership depends in critical part on our continued ability to recruit, motivate, and retain the talented associates that make up our global workforce. We maintain a set of programs and initiatives, rooted in our Core Values (Caring Culture, Integrity First, Excellence Always, Customer Obsessed, and Better Together), designed to attract, develop, retain and engage our associates that is focused on:</w:t>
      </w:r>
    </w:p>
    <w:p>
      <w:pPr>
        <w:spacing w:after="0" w:line="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fair, and transparent compensation and benefits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supporting the overall well-being of our associates from a physical, mental, and social perspective;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creating opportunities for associate growth, development, recognition, training, and education; and</w:t>
      </w:r>
    </w:p>
    <w:p>
      <w:pPr>
        <w:spacing w:after="0" w:line="63"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promoting an inclusive and diverse workplace, where all individuals are respected regardless of their age, race, notional origin, gender, religion, disability, or sexual orientation.</w:t>
      </w:r>
    </w:p>
    <w:p>
      <w:pPr>
        <w:spacing w:after="0" w:line="6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2020, we had a global workforce consisting of approximately 18,000 associates, of which almost 15,500 were based in the United States and approximately 2,500 were based in international locations.</w:t>
      </w:r>
    </w:p>
    <w:p>
      <w:pPr>
        <w:spacing w:after="0" w:line="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September 2020 we announced a workforce reduction plan that was expected to impact approximately 3,300 associates worldwide as a result of the adverse impact that the COVID-19 pandemic has had on demand for the Company’s products and services. Since November 2020, approximately 3,000 associates have been impacted by the workforce reduction plan. We expect that fewer associates than originally anticipated will be impacted due to the increasing demand for our products and services in our Florida and Hawaii vacation ownership resort locations.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Inclusion and Diversity</w:t>
      </w:r>
    </w:p>
    <w:p>
      <w:pPr>
        <w:spacing w:after="0" w:line="11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As a leisure-focused company, we are in the business of bringing people together. Like our customers, our associates come from diverse backgrounds, offering invaluably distinct perspectives. Women comprise 53.7 percent of our worldwide workforce and men comprise 46.3 percent. Within the United States, people of color comprise 43.1 percent of our management level positions and women comprise 45.2 percent of our management level positions. We are striving to make progress with recruiting efforts related to the placement of women and people of color in management roles.</w:t>
      </w:r>
    </w:p>
    <w:p>
      <w:pPr>
        <w:spacing w:after="0" w:line="4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2020, our executive officers participated in an Inclusion and Diversity executive leadership course facilitated by an industry expert. Following this course, we committed to launching an Executive Inclusion Council, which is comprised of approximately 20 senior leaders dedicated to enabling and championing Inclusion and Diversity initiatives throughout the organization. Top priorities include providing guidance regarding our Inclusion and Diversity strategy, increasing leaders’ ability to discuss and be held accountable for driving Inclusion and Diversity outcomes, and increasing awareness and impact of initiatives.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Associate Development</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seek to cultivate a learning-rich environment where associates are prepared to succeed and are motivated to serve our Owners, Members, and guests. Our Global Learning and Performance team develops and deploys programs and resources for all our associates. Our learning programs are designed to help ensure our company is a desirable place to start and maintain a fulfilling career, with increased opportunities for growth. In light of the COVID-19 pandemic, a key training focus in 2020 was to provide curriculum on returning to work safely and supporting our associates’ overall health and well-being.</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Global Learning and Performance team is also committed to providing our leaders with the opportunity to develop their leadership skills. With a curriculum of approximately 15 distinct courses, the Leadership Development Program provides associates the tools, resources, and practice we believe are important to becoming successful leaders. In 2020 we converted many of our classroom training offerings to virtual courses to support training in a socially distant manner.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 Bargaining Agreements</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are party to collective bargaining agreements in the United States and Mexico primarily with regard to employees working in food service, laundry, and hospitality and tourism.</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Human Rights</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maintain a human rights policy that aligns with government, business, and public concerns about issues such as human trafficking and the exploitation of children. We do not recruit child labor, and we support programs and partnerships that help at-risk young people and their families prepare for and find meaningful employment.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investor relations website address is www.marriottvacationsworldwide.com/investor-relations.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right="300" w:firstLine="648"/>
        <w:spacing w:after="0" w:line="274"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22, 2021, except where indicated.</w:t>
      </w:r>
    </w:p>
    <w:tbl>
      <w:tblPr>
        <w:tblLayout w:type="fixed"/>
        <w:tblInd w:w="0" w:type="dxa"/>
        <w:tblCellMar>
          <w:top w:w="0" w:type="dxa"/>
          <w:left w:w="0" w:type="dxa"/>
          <w:bottom w:w="0" w:type="dxa"/>
          <w:right w:w="0" w:type="dxa"/>
        </w:tblCellMar>
      </w:tblPr>
      <w:tr>
        <w:trPr>
          <w:trHeight w:val="213"/>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and Title</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7760" w:type="dxa"/>
            <w:vAlign w:val="bottom"/>
          </w:tcPr>
          <w:p>
            <w:pPr>
              <w:ind w:left="3180"/>
              <w:spacing w:after="0"/>
              <w:rPr>
                <w:sz w:val="20"/>
                <w:szCs w:val="20"/>
                <w:color w:val="auto"/>
              </w:rPr>
            </w:pPr>
            <w:r>
              <w:rPr>
                <w:rFonts w:ascii="Arial" w:cs="Arial" w:eastAsia="Arial" w:hAnsi="Arial"/>
                <w:sz w:val="16"/>
                <w:szCs w:val="16"/>
                <w:b w:val="1"/>
                <w:bCs w:val="1"/>
                <w:color w:val="auto"/>
              </w:rPr>
              <w:t>Business Experience</w:t>
            </w:r>
          </w:p>
        </w:tc>
        <w:tc>
          <w:tcPr>
            <w:tcW w:w="0" w:type="dxa"/>
            <w:vAlign w:val="bottom"/>
          </w:tcPr>
          <w:p>
            <w:pPr>
              <w:spacing w:after="0"/>
              <w:rPr>
                <w:sz w:val="1"/>
                <w:szCs w:val="1"/>
                <w:color w:val="auto"/>
              </w:rPr>
            </w:pPr>
          </w:p>
        </w:tc>
      </w:tr>
      <w:tr>
        <w:trPr>
          <w:trHeight w:val="333"/>
        </w:trPr>
        <w:tc>
          <w:tcPr>
            <w:tcW w:w="26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Stephen P. Weisz has served as our Chief Executive Officer since 2011, and as our President from 1996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through December 2020; he has also been a member of our Board of Directors since 2011. Mr. Weisz</w:t>
            </w:r>
          </w:p>
        </w:tc>
        <w:tc>
          <w:tcPr>
            <w:tcW w:w="0" w:type="dxa"/>
            <w:vAlign w:val="bottom"/>
          </w:tcPr>
          <w:p>
            <w:pPr>
              <w:spacing w:after="0"/>
              <w:rPr>
                <w:sz w:val="1"/>
                <w:szCs w:val="1"/>
                <w:color w:val="auto"/>
              </w:rPr>
            </w:pPr>
          </w:p>
        </w:tc>
      </w:tr>
      <w:tr>
        <w:trPr>
          <w:trHeight w:val="216"/>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Stephen P. Weisz</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joined Marriott International in 1972. Over his 39-year career with Marriott International, he held a</w:t>
            </w:r>
          </w:p>
        </w:tc>
        <w:tc>
          <w:tcPr>
            <w:tcW w:w="0" w:type="dxa"/>
            <w:vAlign w:val="bottom"/>
          </w:tcPr>
          <w:p>
            <w:pPr>
              <w:spacing w:after="0"/>
              <w:rPr>
                <w:sz w:val="1"/>
                <w:szCs w:val="1"/>
                <w:color w:val="auto"/>
              </w:rPr>
            </w:pPr>
          </w:p>
        </w:tc>
      </w:tr>
      <w:tr>
        <w:trPr>
          <w:trHeight w:val="95"/>
        </w:trPr>
        <w:tc>
          <w:tcPr>
            <w:tcW w:w="2720" w:type="dxa"/>
            <w:vAlign w:val="bottom"/>
            <w:gridSpan w:val="2"/>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8"/>
                <w:szCs w:val="8"/>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7"/>
              </w:rPr>
              <w:t>number of leadership positions in the Lodging division, including Senior Vice President of Sales and</w:t>
            </w:r>
          </w:p>
        </w:tc>
        <w:tc>
          <w:tcPr>
            <w:tcW w:w="0" w:type="dxa"/>
            <w:vAlign w:val="bottom"/>
          </w:tcPr>
          <w:p>
            <w:pPr>
              <w:spacing w:after="0"/>
              <w:rPr>
                <w:sz w:val="1"/>
                <w:szCs w:val="1"/>
                <w:color w:val="auto"/>
              </w:rPr>
            </w:pPr>
          </w:p>
        </w:tc>
      </w:tr>
      <w:tr>
        <w:trPr>
          <w:trHeight w:val="121"/>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720" w:type="dxa"/>
            <w:vAlign w:val="bottom"/>
            <w:gridSpan w:val="2"/>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4"/>
              </w:rPr>
              <w:t>Marketing and Executive Vice President-Lodging Brands. Mr. Weisz is a past Chairman of the Board of</w:t>
            </w:r>
          </w:p>
        </w:tc>
        <w:tc>
          <w:tcPr>
            <w:tcW w:w="0" w:type="dxa"/>
            <w:vAlign w:val="bottom"/>
          </w:tcPr>
          <w:p>
            <w:pPr>
              <w:spacing w:after="0"/>
              <w:rPr>
                <w:sz w:val="1"/>
                <w:szCs w:val="1"/>
                <w:color w:val="auto"/>
              </w:rPr>
            </w:pPr>
          </w:p>
        </w:tc>
      </w:tr>
      <w:tr>
        <w:trPr>
          <w:trHeight w:val="106"/>
        </w:trPr>
        <w:tc>
          <w:tcPr>
            <w:tcW w:w="2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Directors of the American Resort Development Association and also a past Chairman of the Board of</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Trustees of Children’s Miracle Network.</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E. Geller, Jr.</w:t>
      </w:r>
    </w:p>
    <w:p>
      <w:pPr>
        <w:ind w:left="20"/>
        <w:spacing w:after="0" w:line="203" w:lineRule="auto"/>
        <w:rPr>
          <w:sz w:val="20"/>
          <w:szCs w:val="20"/>
          <w:color w:val="auto"/>
        </w:rPr>
      </w:pPr>
      <w:r>
        <w:rPr>
          <w:rFonts w:ascii="Arial" w:cs="Arial" w:eastAsia="Arial" w:hAnsi="Arial"/>
          <w:sz w:val="18"/>
          <w:szCs w:val="18"/>
          <w:color w:val="auto"/>
        </w:rPr>
        <w:t>President and Chief Financial</w:t>
      </w:r>
    </w:p>
    <w:p>
      <w:pPr>
        <w:ind w:left="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Jeanette E. Marbert</w:t>
      </w:r>
    </w:p>
    <w:p>
      <w:pPr>
        <w:ind w:left="20"/>
        <w:spacing w:after="0" w:line="203" w:lineRule="auto"/>
        <w:rPr>
          <w:sz w:val="20"/>
          <w:szCs w:val="20"/>
          <w:color w:val="auto"/>
        </w:rPr>
      </w:pPr>
      <w:r>
        <w:rPr>
          <w:rFonts w:ascii="Arial" w:cs="Arial" w:eastAsia="Arial" w:hAnsi="Arial"/>
          <w:sz w:val="18"/>
          <w:szCs w:val="18"/>
          <w:color w:val="auto"/>
        </w:rPr>
        <w:t>President, Exchange and Third-</w:t>
      </w:r>
    </w:p>
    <w:p>
      <w:pPr>
        <w:ind w:left="20"/>
        <w:spacing w:after="0"/>
        <w:rPr>
          <w:sz w:val="20"/>
          <w:szCs w:val="20"/>
          <w:color w:val="auto"/>
        </w:rPr>
      </w:pPr>
      <w:r>
        <w:rPr>
          <w:rFonts w:ascii="Arial" w:cs="Arial" w:eastAsia="Arial" w:hAnsi="Arial"/>
          <w:sz w:val="18"/>
          <w:szCs w:val="18"/>
          <w:color w:val="auto"/>
        </w:rPr>
        <w:t>Party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E. Miller</w:t>
      </w:r>
    </w:p>
    <w:p>
      <w:pPr>
        <w:ind w:left="20"/>
        <w:spacing w:after="0"/>
        <w:rPr>
          <w:sz w:val="20"/>
          <w:szCs w:val="20"/>
          <w:color w:val="auto"/>
        </w:rPr>
      </w:pPr>
      <w:r>
        <w:rPr>
          <w:rFonts w:ascii="Arial" w:cs="Arial" w:eastAsia="Arial" w:hAnsi="Arial"/>
          <w:sz w:val="18"/>
          <w:szCs w:val="18"/>
          <w:color w:val="auto"/>
        </w:rPr>
        <w:t>President, Vacation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 Lee Cunningham</w:t>
      </w:r>
    </w:p>
    <w:p>
      <w:pPr>
        <w:ind w:left="20"/>
        <w:spacing w:after="0" w:line="228" w:lineRule="auto"/>
        <w:rPr>
          <w:sz w:val="20"/>
          <w:szCs w:val="20"/>
          <w:color w:val="auto"/>
        </w:rPr>
      </w:pPr>
      <w:r>
        <w:rPr>
          <w:rFonts w:ascii="Arial" w:cs="Arial" w:eastAsia="Arial" w:hAnsi="Arial"/>
          <w:sz w:val="16"/>
          <w:szCs w:val="16"/>
          <w:color w:val="auto"/>
        </w:rPr>
        <w:t>Executive Vice President and Chief</w:t>
      </w:r>
    </w:p>
    <w:p>
      <w:pPr>
        <w:ind w:left="20"/>
        <w:spacing w:after="0" w:line="204" w:lineRule="auto"/>
        <w:rPr>
          <w:sz w:val="20"/>
          <w:szCs w:val="20"/>
          <w:color w:val="auto"/>
        </w:rPr>
      </w:pPr>
      <w:r>
        <w:rPr>
          <w:rFonts w:ascii="Arial" w:cs="Arial" w:eastAsia="Arial" w:hAnsi="Arial"/>
          <w:sz w:val="18"/>
          <w:szCs w:val="18"/>
          <w:color w:val="auto"/>
        </w:rPr>
        <w:t>Operating Officer - Vacation</w:t>
      </w:r>
    </w:p>
    <w:p>
      <w:pPr>
        <w:ind w:left="20"/>
        <w:spacing w:after="0"/>
        <w:rPr>
          <w:sz w:val="20"/>
          <w:szCs w:val="20"/>
          <w:color w:val="auto"/>
        </w:rPr>
      </w:pPr>
      <w:r>
        <w:rPr>
          <w:rFonts w:ascii="Arial" w:cs="Arial" w:eastAsia="Arial" w:hAnsi="Arial"/>
          <w:sz w:val="18"/>
          <w:szCs w:val="18"/>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br w:type="column"/>
      </w:r>
    </w:p>
    <w:p>
      <w:pPr>
        <w:ind w:right="200"/>
        <w:spacing w:after="0" w:line="257" w:lineRule="auto"/>
        <w:rPr>
          <w:sz w:val="20"/>
          <w:szCs w:val="20"/>
          <w:color w:val="auto"/>
        </w:rPr>
      </w:pPr>
      <w:r>
        <w:rPr>
          <w:rFonts w:ascii="Arial" w:cs="Arial" w:eastAsia="Arial" w:hAnsi="Arial"/>
          <w:sz w:val="18"/>
          <w:szCs w:val="18"/>
          <w:color w:val="auto"/>
        </w:rPr>
        <w:t>John E. Geller, Jr. has served as President and Chief Financial Officer since January 2021. From January 2018 to January 2021, he served as our Executive Vice President and Chief Financial and Administrative Officer. From 2009 to December 2017, he served as our Executive Vice President and Chief Financial Officer. Mr. Geller joined Marriott International in 2005 as Senior Vice President and Chief Audit Executive and Information Security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76835</wp:posOffset>
            </wp:positionV>
            <wp:extent cx="7132320" cy="857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2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Jeanette Marbert has served as our President, Exchange and Third-Party Management since October 2018. She served as President and Chief Executive Officer for the Exchange and Rental Segment of ILG, Inc. from November 2017 until September 2018, and as Executive Vice President from June 2009 until November 2017. She was Chief Operating Officer of ILG, Inc. from August 2008 to November 2017, and served as a Director of ILG, Inc. from February 2015 to May 2016. Ms. Marbert joined Interval in 1984.</w:t>
      </w:r>
    </w:p>
    <w:p>
      <w:pPr>
        <w:spacing w:after="0" w:line="21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Brian E. Miller has served as our President, Vacation Ownership since October 2020. From October 2018 to September 2020, he served as our Executive Vice President and Chief Marketing, Sales and Service Officer. From November 2011 to September 2018, he served as our Executive Vice President and Chief Sales and Marketing Officer. Prior to that time, he had served as our Senior Vice President, Sales and Marketing and Service Operations since 2007. Mr. Miller joined our company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60325</wp:posOffset>
            </wp:positionV>
            <wp:extent cx="7132320" cy="994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 Lee Cunningham has served as our Executive Vice President and Chief Operating Officer - Vacation Ownership since September 2018. From December 2012 to August 2018, he served as our Executive Vice President and Chief Operating Officer. From 2007 to December 2012, he served as our Executive Vice President and Chief Operating Officer – North America and Caribbean. Mr. Cunningham joined our company in 1997 as Vice President of Revenue Management and Owner Service Operations. Mr. Cunningham joined Marriott International in 1982.</w:t>
      </w:r>
    </w:p>
    <w:p>
      <w:pPr>
        <w:spacing w:after="0" w:line="200" w:lineRule="exact"/>
        <w:rPr>
          <w:sz w:val="20"/>
          <w:szCs w:val="20"/>
          <w:color w:val="auto"/>
        </w:rPr>
      </w:pPr>
    </w:p>
    <w:p>
      <w:pPr>
        <w:sectPr>
          <w:pgSz w:w="11900" w:h="16838" w:orient="portrait"/>
          <w:cols w:equalWidth="0" w:num="3">
            <w:col w:w="2580" w:space="380"/>
            <w:col w:w="180" w:space="360"/>
            <w:col w:w="7740"/>
          </w:cols>
          <w:pgMar w:left="320" w:top="999"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3"/>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and Title</w:t>
            </w: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7760" w:type="dxa"/>
            <w:vAlign w:val="bottom"/>
          </w:tcPr>
          <w:p>
            <w:pPr>
              <w:ind w:left="3180"/>
              <w:spacing w:after="0"/>
              <w:rPr>
                <w:sz w:val="20"/>
                <w:szCs w:val="20"/>
                <w:color w:val="auto"/>
              </w:rPr>
            </w:pPr>
            <w:r>
              <w:rPr>
                <w:rFonts w:ascii="Arial" w:cs="Arial" w:eastAsia="Arial" w:hAnsi="Arial"/>
                <w:sz w:val="16"/>
                <w:szCs w:val="16"/>
                <w:b w:val="1"/>
                <w:bCs w:val="1"/>
                <w:color w:val="auto"/>
              </w:rPr>
              <w:t>Business Experience</w:t>
            </w:r>
          </w:p>
        </w:tc>
        <w:tc>
          <w:tcPr>
            <w:tcW w:w="0" w:type="dxa"/>
            <w:vAlign w:val="bottom"/>
          </w:tcPr>
          <w:p>
            <w:pPr>
              <w:spacing w:after="0"/>
              <w:rPr>
                <w:sz w:val="1"/>
                <w:szCs w:val="1"/>
                <w:color w:val="auto"/>
              </w:rPr>
            </w:pPr>
          </w:p>
        </w:tc>
      </w:tr>
      <w:tr>
        <w:trPr>
          <w:trHeight w:val="212"/>
        </w:trPr>
        <w:tc>
          <w:tcPr>
            <w:tcW w:w="2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Lori Gustafson joined our company in November 2020 and serves as our Executive Vice President and</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3"/>
              </w:rPr>
              <w:t>Chief Brand and Digital Strategy Officer. From May 2019 to November 2020, she served as Senior Vice</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7"/>
              </w:rPr>
              <w:t>President, Global Brands &amp; Digital for Wyndham Destinations, where she was responsible for brand</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1"/>
              </w:rPr>
              <w:t>management and digital marketing. From January 2018 to May 2019, she served as Vice President, Brand</w:t>
            </w:r>
          </w:p>
        </w:tc>
        <w:tc>
          <w:tcPr>
            <w:tcW w:w="0" w:type="dxa"/>
            <w:vAlign w:val="bottom"/>
          </w:tcPr>
          <w:p>
            <w:pPr>
              <w:spacing w:after="0"/>
              <w:rPr>
                <w:sz w:val="1"/>
                <w:szCs w:val="1"/>
                <w:color w:val="auto"/>
              </w:rPr>
            </w:pPr>
          </w:p>
        </w:tc>
      </w:tr>
      <w:tr>
        <w:trPr>
          <w:trHeight w:val="203"/>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rPr>
              <w:t>Lori Gustafson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3"/>
              </w:rPr>
              <w:t>Marketing, where she was responsible for brand management, campaign development and advertising.</w:t>
            </w:r>
          </w:p>
        </w:tc>
        <w:tc>
          <w:tcPr>
            <w:tcW w:w="0" w:type="dxa"/>
            <w:vAlign w:val="bottom"/>
          </w:tcPr>
          <w:p>
            <w:pPr>
              <w:spacing w:after="0"/>
              <w:rPr>
                <w:sz w:val="1"/>
                <w:szCs w:val="1"/>
                <w:color w:val="auto"/>
              </w:rPr>
            </w:pPr>
          </w:p>
        </w:tc>
      </w:tr>
      <w:tr>
        <w:trPr>
          <w:trHeight w:val="95"/>
        </w:trPr>
        <w:tc>
          <w:tcPr>
            <w:tcW w:w="272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760" w:type="dxa"/>
            <w:vAlign w:val="bottom"/>
            <w:vMerge w:val="restart"/>
          </w:tcPr>
          <w:p>
            <w:pPr>
              <w:ind w:left="20"/>
              <w:spacing w:after="0" w:line="202" w:lineRule="exact"/>
              <w:rPr>
                <w:sz w:val="20"/>
                <w:szCs w:val="20"/>
                <w:color w:val="auto"/>
              </w:rPr>
            </w:pPr>
            <w:r>
              <w:rPr>
                <w:rFonts w:ascii="Arial" w:cs="Arial" w:eastAsia="Arial" w:hAnsi="Arial"/>
                <w:sz w:val="18"/>
                <w:szCs w:val="18"/>
                <w:color w:val="auto"/>
                <w:w w:val="95"/>
              </w:rPr>
              <w:t>From July 2017 to January 2018, she served as Corporate Vice President of Digital, eCommerce, and</w:t>
            </w:r>
          </w:p>
        </w:tc>
        <w:tc>
          <w:tcPr>
            <w:tcW w:w="0" w:type="dxa"/>
            <w:vAlign w:val="bottom"/>
          </w:tcPr>
          <w:p>
            <w:pPr>
              <w:spacing w:after="0"/>
              <w:rPr>
                <w:sz w:val="1"/>
                <w:szCs w:val="1"/>
                <w:color w:val="auto"/>
              </w:rPr>
            </w:pPr>
          </w:p>
        </w:tc>
      </w:tr>
      <w:tr>
        <w:trPr>
          <w:trHeight w:val="107"/>
        </w:trPr>
        <w:tc>
          <w:tcPr>
            <w:tcW w:w="27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w w:val="95"/>
              </w:rPr>
              <w:t>Executive Vice President and Chief</w:t>
            </w:r>
          </w:p>
        </w:tc>
        <w:tc>
          <w:tcPr>
            <w:tcW w:w="6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9"/>
                <w:szCs w:val="9"/>
                <w:color w:val="auto"/>
              </w:rPr>
            </w:pPr>
          </w:p>
        </w:tc>
        <w:tc>
          <w:tcPr>
            <w:tcW w:w="7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760" w:type="dxa"/>
            <w:vAlign w:val="bottom"/>
            <w:vMerge w:val="restart"/>
          </w:tcPr>
          <w:p>
            <w:pPr>
              <w:ind w:left="20"/>
              <w:spacing w:after="0" w:line="202" w:lineRule="exact"/>
              <w:rPr>
                <w:sz w:val="20"/>
                <w:szCs w:val="20"/>
                <w:color w:val="auto"/>
              </w:rPr>
            </w:pPr>
            <w:r>
              <w:rPr>
                <w:rFonts w:ascii="Arial" w:cs="Arial" w:eastAsia="Arial" w:hAnsi="Arial"/>
                <w:sz w:val="18"/>
                <w:szCs w:val="18"/>
                <w:color w:val="auto"/>
                <w:w w:val="91"/>
              </w:rPr>
              <w:t>Media at SeaWorld Parks &amp; Entertainment, where she led the U.S. team that oversaw the development of</w:t>
            </w:r>
          </w:p>
        </w:tc>
        <w:tc>
          <w:tcPr>
            <w:tcW w:w="0" w:type="dxa"/>
            <w:vAlign w:val="bottom"/>
          </w:tcPr>
          <w:p>
            <w:pPr>
              <w:spacing w:after="0"/>
              <w:rPr>
                <w:sz w:val="1"/>
                <w:szCs w:val="1"/>
                <w:color w:val="auto"/>
              </w:rPr>
            </w:pPr>
          </w:p>
        </w:tc>
      </w:tr>
      <w:tr>
        <w:trPr>
          <w:trHeight w:val="134"/>
        </w:trPr>
        <w:tc>
          <w:tcPr>
            <w:tcW w:w="272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Brand and Digital Strategy Officer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72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760" w:type="dxa"/>
            <w:vAlign w:val="bottom"/>
            <w:vMerge w:val="restart"/>
          </w:tcPr>
          <w:p>
            <w:pPr>
              <w:ind w:left="20"/>
              <w:spacing w:after="0" w:line="202" w:lineRule="exact"/>
              <w:rPr>
                <w:sz w:val="20"/>
                <w:szCs w:val="20"/>
                <w:color w:val="auto"/>
              </w:rPr>
            </w:pPr>
            <w:r>
              <w:rPr>
                <w:rFonts w:ascii="Arial" w:cs="Arial" w:eastAsia="Arial" w:hAnsi="Arial"/>
                <w:sz w:val="18"/>
                <w:szCs w:val="18"/>
                <w:color w:val="auto"/>
                <w:w w:val="95"/>
              </w:rPr>
              <w:t>eCommerce, digital marketing, social media, business intelligence and digital content. From 2015 until</w:t>
            </w: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0"/>
              </w:rPr>
              <w:t>July 2017, she served as Senior Director, Digital Marketing at SeaWorld Parks &amp; Entertainment, where she</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8"/>
              </w:rPr>
              <w:t>was the executive leader for digital transformation initiatives, including websites, mobile and digital</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tcPr>
          <w:p>
            <w:pPr>
              <w:ind w:left="20"/>
              <w:spacing w:after="0" w:line="202" w:lineRule="exact"/>
              <w:rPr>
                <w:sz w:val="20"/>
                <w:szCs w:val="20"/>
                <w:color w:val="auto"/>
              </w:rPr>
            </w:pPr>
            <w:r>
              <w:rPr>
                <w:rFonts w:ascii="Arial" w:cs="Arial" w:eastAsia="Arial" w:hAnsi="Arial"/>
                <w:sz w:val="18"/>
                <w:szCs w:val="18"/>
                <w:color w:val="auto"/>
                <w:w w:val="95"/>
              </w:rPr>
              <w:t>commerce improvements and the implementation of a data and analytics program related to customer</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344"/>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H Hunter, IV</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4"/>
                <w:szCs w:val="24"/>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James H Hunter, IV has served as our Executive Vice President and General Counsel since November</w:t>
            </w:r>
          </w:p>
        </w:tc>
        <w:tc>
          <w:tcPr>
            <w:tcW w:w="0" w:type="dxa"/>
            <w:vAlign w:val="bottom"/>
          </w:tcPr>
          <w:p>
            <w:pPr>
              <w:spacing w:after="0"/>
              <w:rPr>
                <w:sz w:val="1"/>
                <w:szCs w:val="1"/>
                <w:color w:val="auto"/>
              </w:rPr>
            </w:pPr>
          </w:p>
        </w:tc>
      </w:tr>
      <w:tr>
        <w:trPr>
          <w:trHeight w:val="176"/>
        </w:trPr>
        <w:tc>
          <w:tcPr>
            <w:tcW w:w="2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2011. Prior to that time, he had served as Senior Vice President and General Counsel since 2006. Mr.</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Counsel</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Hunter joined Marriott International in 1994.</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w w:val="93"/>
              </w:rPr>
              <w:t>Lizabeth Kane-Hanan has served as our Executive Vice President and Chief Development and Product</w:t>
            </w:r>
          </w:p>
        </w:tc>
        <w:tc>
          <w:tcPr>
            <w:tcW w:w="0" w:type="dxa"/>
            <w:vAlign w:val="bottom"/>
          </w:tcPr>
          <w:p>
            <w:pPr>
              <w:spacing w:after="0"/>
              <w:rPr>
                <w:sz w:val="1"/>
                <w:szCs w:val="1"/>
                <w:color w:val="auto"/>
              </w:rPr>
            </w:pPr>
          </w:p>
        </w:tc>
      </w:tr>
      <w:tr>
        <w:trPr>
          <w:trHeight w:val="21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Lizabeth Kane-Hanan</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w w:val="93"/>
              </w:rPr>
              <w:t>Officer since September 2018. From November 2011 to August 2018, she served as our Executive Vice</w:t>
            </w:r>
          </w:p>
        </w:tc>
        <w:tc>
          <w:tcPr>
            <w:tcW w:w="0" w:type="dxa"/>
            <w:vAlign w:val="bottom"/>
          </w:tcPr>
          <w:p>
            <w:pPr>
              <w:spacing w:after="0"/>
              <w:rPr>
                <w:sz w:val="1"/>
                <w:szCs w:val="1"/>
                <w:color w:val="auto"/>
              </w:rPr>
            </w:pPr>
          </w:p>
        </w:tc>
      </w:tr>
      <w:tr>
        <w:trPr>
          <w:trHeight w:val="176"/>
        </w:trPr>
        <w:tc>
          <w:tcPr>
            <w:tcW w:w="27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Executive Vice President and Chief</w:t>
            </w: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760" w:type="dxa"/>
            <w:vAlign w:val="bottom"/>
          </w:tcPr>
          <w:p>
            <w:pPr>
              <w:ind w:left="20"/>
              <w:spacing w:after="0" w:line="176" w:lineRule="exact"/>
              <w:rPr>
                <w:sz w:val="20"/>
                <w:szCs w:val="20"/>
                <w:color w:val="auto"/>
              </w:rPr>
            </w:pPr>
            <w:r>
              <w:rPr>
                <w:rFonts w:ascii="Arial" w:cs="Arial" w:eastAsia="Arial" w:hAnsi="Arial"/>
                <w:sz w:val="18"/>
                <w:szCs w:val="18"/>
                <w:color w:val="auto"/>
                <w:w w:val="94"/>
              </w:rPr>
              <w:t>President and Chief Growth and Inventory Officer. Prior to that time, she had served as our Senior Vice</w:t>
            </w:r>
          </w:p>
        </w:tc>
        <w:tc>
          <w:tcPr>
            <w:tcW w:w="0" w:type="dxa"/>
            <w:vAlign w:val="bottom"/>
          </w:tcPr>
          <w:p>
            <w:pPr>
              <w:spacing w:after="0"/>
              <w:rPr>
                <w:sz w:val="1"/>
                <w:szCs w:val="1"/>
                <w:color w:val="auto"/>
              </w:rPr>
            </w:pPr>
          </w:p>
        </w:tc>
      </w:tr>
      <w:tr>
        <w:trPr>
          <w:trHeight w:val="25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Development and Product Officer</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w w:val="90"/>
              </w:rPr>
              <w:t>President, Resort Development and Planning, Inventory and Revenue Management and Product Innovation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since 2009. Ms. Kane-Hanan joined our company in 2000.</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Dwight D. Smith</w:t>
            </w: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24"/>
                <w:szCs w:val="24"/>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Dwight D. Smith has served as our Executive Vice President and Chief Information Officer since</w:t>
            </w: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Executive Vice President and Chief</w:t>
            </w: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December 2011. Prior to that time, he served as our Senior Vice President and Chief Information Officer</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Information Officer</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since 2006. Mr. Smith joined Marriott International in 1988.</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Michael E. Yonker</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w w:val="91"/>
              </w:rPr>
              <w:t>Michael E. Yonker has served as our Executive Vice President and Chief Human Resources Officer since</w:t>
            </w:r>
          </w:p>
        </w:tc>
        <w:tc>
          <w:tcPr>
            <w:tcW w:w="0" w:type="dxa"/>
            <w:vAlign w:val="bottom"/>
          </w:tcPr>
          <w:p>
            <w:pPr>
              <w:spacing w:after="0"/>
              <w:rPr>
                <w:sz w:val="1"/>
                <w:szCs w:val="1"/>
                <w:color w:val="auto"/>
              </w:rPr>
            </w:pPr>
          </w:p>
        </w:tc>
      </w:tr>
      <w:tr>
        <w:trPr>
          <w:trHeight w:val="175"/>
        </w:trPr>
        <w:tc>
          <w:tcPr>
            <w:tcW w:w="2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and</w:t>
            </w: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760" w:type="dxa"/>
            <w:vAlign w:val="bottom"/>
          </w:tcPr>
          <w:p>
            <w:pPr>
              <w:ind w:left="20"/>
              <w:spacing w:after="0" w:line="176" w:lineRule="exact"/>
              <w:rPr>
                <w:sz w:val="20"/>
                <w:szCs w:val="20"/>
                <w:color w:val="auto"/>
              </w:rPr>
            </w:pPr>
            <w:r>
              <w:rPr>
                <w:rFonts w:ascii="Arial" w:cs="Arial" w:eastAsia="Arial" w:hAnsi="Arial"/>
                <w:sz w:val="18"/>
                <w:szCs w:val="18"/>
                <w:color w:val="auto"/>
                <w:w w:val="96"/>
              </w:rPr>
              <w:t>December 2011. Prior to that time, he served as our Chief Human Resources Officer since 2010. Mr.</w:t>
            </w:r>
          </w:p>
        </w:tc>
        <w:tc>
          <w:tcPr>
            <w:tcW w:w="0" w:type="dxa"/>
            <w:vAlign w:val="bottom"/>
          </w:tcPr>
          <w:p>
            <w:pPr>
              <w:spacing w:after="0"/>
              <w:rPr>
                <w:sz w:val="1"/>
                <w:szCs w:val="1"/>
                <w:color w:val="auto"/>
              </w:rPr>
            </w:pPr>
          </w:p>
        </w:tc>
      </w:tr>
      <w:tr>
        <w:trPr>
          <w:trHeight w:val="27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Chief Human Resources Officer</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Yonker joined Marriott International in 1983.</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will continue to have, serious adverse effects on our business, financial condition, and results of operations for an unknown period of time.</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2020, the World Health Organization declared the coronavirus (“COVID-19 pandemic”) outbreak a pandemic. In the wake of this declaration, our operations have been impacted by recommendations and mandates from national, federal, state, and local authorities to stay home, avoid non-essential contact and gatherings, and self-quarantine. Since March 16, 2020, we have seen marked declines in occupancy, rentals, and contract sales because of the temporary closure of substantially all of our sales centers internationally, the temporary closure of many of our resorts, the temporary closure of our branded North America vacation ownership resorts for rental stays, and the reduction in operations and amenities at all of our resorts based on government mandates and advisories. In response to the pandemic, we have: implemented furloughs, reduced work hours and reduced salaries for our associates; instituted “work from home” measures for many of our associates; and implemented social distancing and enhanced hygiene protocols at our resorts, sales centers, and corporate offices. These measures to protect human life resulted in additional costs, operational inefficiencies, and fewer revenue opportunities. Protocols adopted to combat the COVID-19 pandemic, such as canceling, or implementing alternatives to, in-person sales tours and customized presentations, have resulted, and could continue to result in, lesser effectiveness of customer-associate interaction and diminished customer satisfaction, which could adversely impact our financial condition. As of December 31,</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25" w:name="page26"/>
    <w:bookmarkEnd w:id="25"/>
    <w:p>
      <w:pPr>
        <w:ind w:right="240"/>
        <w:spacing w:after="0" w:line="342" w:lineRule="auto"/>
        <w:rPr>
          <w:sz w:val="20"/>
          <w:szCs w:val="20"/>
          <w:color w:val="auto"/>
        </w:rPr>
      </w:pPr>
      <w:r>
        <w:rPr>
          <w:rFonts w:ascii="Arial" w:cs="Arial" w:eastAsia="Arial" w:hAnsi="Arial"/>
          <w:sz w:val="16"/>
          <w:szCs w:val="16"/>
          <w:color w:val="auto"/>
        </w:rPr>
        <w:t>2020, the majority of our resorts and sales centers were open; however, extended or further closures may be required nationally, regionally, or in specific locations in the event of a resurgence of the virus. This situation is unprecedented and rapidly changing and has unknown duration and severity.</w:t>
      </w:r>
    </w:p>
    <w:p>
      <w:pPr>
        <w:spacing w:after="0" w:line="16"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The COVID-19 pandemic had, and is expected to continue to have, a material adverse impact on global economies and financial markets, which resulted in an economic downturn that reduced demand for our products and services. The success of our business and our profitability depend, in substantial part, upon the health of the travel industry, which has been materially adversely affected by the COVID-19 pandemic. A substantial amount of our sales activity occurs at our resorts, and the number of prospective and current owners who visit our resorts impacts sales volume. Our rental revenue is also substantially impacted by the desire and ability of vacationers to travel. Fear of exposure to the COVID-19 pandemic, government restrictions on travel, including quarantine requirements, and the lack of a widely available vaccine have caused travelers to cancel or delay travel plans to our resorts. These changes in vacation and travel patterns have adversely affected our cash flows, revenues, and profits, and are expected to continue to do so. Moreover, when travel advisories and restrictions have been lifted, there has been a resurgence of the virus, and as a result, travel demand has remained weak and could remain so for a significant period. We cannot predict if or when demand for our resorts will return to pre-COVID-19 pandemic levels. Adverse changes in the perceived or actual economic climate, including higher unemployment rates, declines in income levels, and loss of personal wealth resulting from the impact of the COVID-19 pandemic are expected to negatively affect travel demand for a prolonged period.</w:t>
      </w:r>
    </w:p>
    <w:p>
      <w:pPr>
        <w:spacing w:after="0" w:line="6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COVID-19 pandemic has led to an increase in payment delinquencies for our vacation ownership notes receivable. The number of delinquencies may increase as the duration of the pandemic or its effect on economic conditions continues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duration and extent of the impact of the COVID-19 pandemic on our business and financial results will largely depend on future developments, including the duration and spread of the pandemic, the extent and severity of any resurgences of the pandemic in the future, the response by all levels of government in their efforts to contain the pandemic and to mitigate the economic disruptions, the related impact on consumer confidence and spending, and how quickly economies and demand for our products and services recover after the pandemic subsides, all of which are highly uncertain, rapidly changing and cannot be predicted. Such impacts are expected to adversely affect our profitability, cash flows, financial results, and capital resources for a significant period. Further, the COVID-19 pandemic may also adversely affect our operating and financial results in a manner that is not presently known to us or that we currently do not consider to present significant risks to our operations.</w:t>
      </w:r>
    </w:p>
    <w:p>
      <w:pPr>
        <w:spacing w:after="0" w:line="6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The economic disruption caused by the COVID-19 pandemic is adversely affecting our ability to generate cash to support our continuing operations and debt service, implement our growth plans and make other payments.</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depend upon our operations to generate strong cash flows to support our operating activities, supply capital to finance our operations and growth, make capital expenditures and acquisitions, service our debt and return value to our shareholders through dividends and stock repurchases. The economic disruption caused by the COVID-19 pandemic is adversely affecting our ability to generate sufficient cash flows from operations to support these activities.</w:t>
      </w: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Steps taken to reduce operating costs and improve efficiency and further changes we may make in the future to reduce costs may negatively impact owner and guest satisfaction and our ability to attract and retain associates. For example, if furloughed personnel do not return to work with us when the COVID-19 pandemic subsides, we may experience operational challenges that impact owner satisfaction and demand for our products, which could limit our ability to grow and expand our business and could reduce our profits. Reductions in or deferrals of planned corporate capital expenditures may negatively impact owner satisfaction and make our products less attractive to prospective purchasers. The temporary suspension of our stock repurchase program and declaration and payment of cash dividends may negatively impact our reputation and investor confidence in us, which may negatively affect our stock price.</w:t>
      </w:r>
    </w:p>
    <w:p>
      <w:pPr>
        <w:spacing w:after="0" w:line="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we cannot make scheduled payments on, or refinance, our debt, we would be in default, and the lenders under our Corporate Credit Facility could terminate their commitments to loan money. Creditors could foreclose on the assets securing our secured debt and apply the amounts realized from such foreclosures to repay amounts owed to them. Any of these actions would likely trigger cross-default or cross-acceleration provisions in our other debt instruments, which would allow the creditors under such instruments to exercise similar rights. If any of these actions were taken, we could be forced into restructuring, bankruptcy or liquidation.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success and profitability depend, in substantial part, upon the health of the worldwide vacation ownership, vacation rental and travel industries, and may be adversely affected by a number of factors that can disrupt or deter travel. A substantial amount of our sales activity occurs at our resorts, and sales volume is affected by the number of visitors at our resorts. Fear of exposure to COVID-19 or other diseases, or natural or man-made disasters, and the physical effects of climate change, such as more frequent or severe storms, droughts, hurricanes and flooding, have caused and may continue to cause travelers to delay or cancel travel plans, including tours at our resorts. Other factors such as weakened consumer confidence, limited availability of consumer credit and damage to infrastructure caused by natural or man-made disasters or other causes that impede travel have caused, and may in the future cause, travelers to delay or cancel plans to tour or visit our resorts. For example, hurricanes have caused a number of Interval International exchange network resorts and our managed vacation ownership resorts to close for prolonged periods. Actual or threatened war, civil unrest and terrorist activity, as well as heightened travel security measures instituted in response to the same, could also interrupt or deter travel plans. In addition, demand for our products and services may decrease if the cost of travel, including the cost of transportation and fuel, increases, airlift to vacation destinations decreases, or if general economic conditions decline.</w:t>
      </w:r>
    </w:p>
    <w:p>
      <w:pPr>
        <w:spacing w:after="0" w:line="7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revenue and profits.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business is extensively regulated, and any failure to comply with applicable laws could materially adversely affect our business.</w:t>
      </w:r>
    </w:p>
    <w:p>
      <w:pPr>
        <w:spacing w:after="0" w:line="14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sell and market vacation interests. Our real estate development activities, marketing and sales activities, lending activities and resort management activities are also heavily regulated. In addition, myriad laws, regulations and policies impact multiple areas of our business, such as those regulating the sale and offer of securities, anti-discrimination, anti-fraud, data protection, anti-corruption and bribery or implementing government economic sanctions.</w:t>
      </w:r>
    </w:p>
    <w:p>
      <w:pPr>
        <w:spacing w:after="0" w:line="8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Complying with the intricate and multifaceted regulatory structures applicable to our businesses across the globe is complicated, constantly evolving, time-consuming and costly. We may not be able to successfully comply with all laws, regulations and policies to which we are subject. These laws, regulations and policies may change or be subject to different interpretation in the future, including in ways that could decrease demand for our services, increase costs, and subject us to additional liabilities. Failure to comply could have a material adverse effect on our business. For example, failure to comply with applicable law could result in the loss of licenses or registrations we must have in order to operate our business, render sales contracts for our products void or voidable, subject us to fines or other sanctions, and increase our exposure to litigation. Adverse action by governmental authorities or others alleging our failure to comply with applicable laws could adversely affect our business, financial condition, and reputation.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rely on a variety of direct marketing techniques, including telemarketing, email marketing and postal mailings. Adoption of new laws, or changes in existing laws, in any of the jurisdictions in which we operate regulating marketing and solicitation or data protection could adversely affect the effectiveness of our marketing strategy. If we are not able to develop adequate alternative marketing strategies, our sales may be adversely effected. We also obtain access to potential customers from travel service providers and other companies with whom we have relationships. If our access to these third-party customer lists was prohibited or restricted, our ability to develop new customers and introduce our products to them could be impaired.</w:t>
      </w:r>
    </w:p>
    <w:p>
      <w:pPr>
        <w:spacing w:after="0" w:line="5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or to protect our systems from cyber-attacks could disrupt our business, damage our reputation, and subject us to costs, fines or lawsuits.</w:t>
      </w:r>
    </w:p>
    <w:p>
      <w:pPr>
        <w:spacing w:after="0" w:line="6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 The regulatory environment in the jurisdictions where we operate and the requirements imposed on us by the payment card industry regarding information, security and privacy is increasingly demanding. Many of the laws applicable to us in different jurisdictions vary from each other in significant ways and may not have the same effect,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thus complicating compliance efforts. Our efforts to comply with these requirements may require significant additional resources and time and may not be successful.</w:t>
      </w:r>
    </w:p>
    <w:p>
      <w:pPr>
        <w:spacing w:after="0" w:line="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may be required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operator error or inadvertent releases of data. Data breaches have increased in recent years as the number, intensity and sophistication of attacks have increased. The techniques used to obtain unauthorized access, disable or degrade service, or sabotage systems change frequently and may be difficult to detect for long periods of time.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an interruption in the operation of our systems, resulting in operational inefficiencies and a loss of profits. A significant cyber-attack or theft, loss, or fraudulent use of our customer, employee or company data could adversely impact our reputation and result in remedial and other expenses, fines or litigation.</w:t>
      </w:r>
    </w:p>
    <w:p>
      <w:pPr>
        <w:spacing w:after="0" w:line="73"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We and the companies we work with have experienced cyber security threats to our data and systems, including malware and computer virus attacks, unauthorized access, systems failures and temporary disruptions. For example, in June 2018, we identified forged and fraudulently induced electronic payment disbursements we made to third parties in an aggregate amount of $10 million resulting from unauthorized third-party access to our email system. Our licensor, Marriott International, announced in November 2018 that it had experienced a data breach that included our customers’ data.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and/or result in fines and/or proceedings against us by governmental agencies, service providers and/or consumers. Any of the foregoing could materially adversely affect our business, financial condition and results of operations.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expose us to risks that could lower our profits or disrupt our business.</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international operations expose us to a number of additional risks, any of which could reduce our profits or disrupt our business, such as: compliance with laws of non-U.S. jurisdictions, including foreign ownership restrictions, import and export controls, and trade restrictions, and U.S. laws affecting our activities outside of the U.S.; anti-American sentiment; political or civil unrest and terrorism; difficulties of managing operations in many different countries; local economic risks; foreign currency exchange risks; and uncertainty as to the enforceability of contract and intellectual property rights under local laws.</w:t>
      </w:r>
    </w:p>
    <w:p>
      <w:pPr>
        <w:spacing w:after="0" w:line="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is not sufficient for all eventualities. Projects to upgrade or replace our technologies may be extremely complex and require significant resources and time. We may not have adequate insurance coverage to compensate for losses from a major interruption. If our information technology systems fail to adequately support our strategic, operational or compliance needs, our business, financial position, results of operations or cash flows may be adversely affected, as well as our disclosure controls and procedures and internal control over financial reporting.</w:t>
      </w:r>
    </w:p>
    <w:p>
      <w:pPr>
        <w:spacing w:after="0" w:line="7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Spanish court rulings voiding certain timeshare contracts have increased our exposure to litigation that may materially adversely affect our business and financial condition.</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series of Spanish court rulings that, since 2015, have voided certain timeshare contracts has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have led to an increase in lawsuits by owners seeking to void timeshare contracts in Spain, including certain contracts at certain of our resorts in Spain. We have prevailed in many such lawsuits, and legislation is being considered by the Spanish government to address the impact of these lawsuits on the industry. If additional owners at our resorts in Spain file similar lawsuits, this may: void certain of those owners’ timeshare contracts;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8" w:name="page29"/>
    <w:bookmarkEnd w:id="28"/>
    <w:p>
      <w:pPr>
        <w:ind w:right="100"/>
        <w:spacing w:after="0" w:line="279" w:lineRule="auto"/>
        <w:rPr>
          <w:sz w:val="20"/>
          <w:szCs w:val="20"/>
          <w:color w:val="auto"/>
        </w:rPr>
      </w:pPr>
      <w:r>
        <w:rPr>
          <w:rFonts w:ascii="Arial" w:cs="Arial" w:eastAsia="Arial" w:hAnsi="Arial"/>
          <w:sz w:val="17"/>
          <w:szCs w:val="17"/>
          <w:color w:val="auto"/>
        </w:rPr>
        <w:t>cause us to incur material litigation and other costs, including judgment or settlement payments; and materially adversely affect the results of operation of our Vacation Ownership segment, as well as our business and financial condition. The increased ability for owners of Spanish timeshares to void their contracts is negatively impacting other developers with resorts in Spain, which may lead to a significant decrease in the number of resorts located in Spain in the Interval International network and the loss of members who own VOIs at those resorts.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industries in which our businesses operate are competitive, which may impact our ability to compete successfully.</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principal exchange network administered by Interval International included nearly 3,200 resorts located in over 90 nations as of December 31, 2020. Interval International’s primary competitor, RCI, has a greater number of affiliated resorts than we have. Through the resources of its corporate affiliates, particularly, Travel + Leisure Co.,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networks. The effects of such competition on our exchange business are more pronounced as the proportion of vacation club corporate members in the Interval International network increases.</w:t>
      </w:r>
    </w:p>
    <w:p>
      <w:pPr>
        <w:spacing w:after="0" w:line="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Negative public perception regarding our industry could have an adverse effect on our operations.</w:t>
      </w:r>
    </w:p>
    <w:p>
      <w:pPr>
        <w:spacing w:after="0" w:line="117"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Negative public perception regarding our industry resulting from, among other things, consumer complaints regarding sales and marketing practices, consumer financing arrangements, and restrictions on exit, as well as negative comments on social media, could result in increased regulatory scrutiny, which could result in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Changes in tax and other revenue raising laws, regulations and policies in the jurisdictions where we do business could impose new restrictions, costs or prohibitions on our practices and reduce our profits.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are often much lower than U.S. tax rates as well as our ability to carryforward losses in certain jurisdictions from prior years to offset future profits. Changes to U.S. or international tax laws, regulations or interpretations could impact the tax treatment of our earnings and adversely affect our profitability. For example, if such changes significantly increase the tax rates on non-U.S. income, our effective tax rate could increase, our profits could be reduced, and if such increases were a result of our status as a U.S. corporation, we could be placed at a disadvantage to our non-U.S. competitors that are subject to lower local tax rates.</w:t>
      </w:r>
    </w:p>
    <w:p>
      <w:pPr>
        <w:spacing w:after="0" w:line="8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The final outcome of tax audits, investigations, and any related litigation could be materially different from our historical tax provisions and accruals.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Concentration of some of our resorts, sales centers and exchange destinations in particular geographic areas exposes our business to the effects of regional events in these areas.</w:t>
      </w:r>
    </w:p>
    <w:p>
      <w:pPr>
        <w:spacing w:after="0" w:line="6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business is susceptible to the effects of natural or manmade disasters, including earthquakes, windstorms, tornadoes, hurricanes, typhoons, tsunamis, volcanic eruptions, floods, drought, fires, oil spills and nuclear incidents, in the areas where some of our resorts, sales centers and exchange destinations are concentrated, such as Florida, South Carolina and Hawaii. For example, properties in these markets have had to close in the past in order to repair damage caused by disasters. Depending on the severity of future disasters, the resulting damage could require closure of all or substantially all of our properties in one or more of these markets while we complete renovations. Our insurance may not cover all damages caused by any such event, including the loss of sales of VOIs at sales centers that are not fully operational. In addition, insurance costs may increase and coverage levels may decrease for properties in these areas as a result of the number and magnitude of recent natural disasters in these areas.</w:t>
      </w:r>
    </w:p>
    <w:p>
      <w:pPr>
        <w:spacing w:after="0" w:line="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Because of this geographic concentration of properties, we face a greater risk of a negative effect on our revenues and profits if these areas are affected by extreme weather, manmade disasters or adverse economic and competitive conditions.</w:t>
      </w:r>
    </w:p>
    <w:p>
      <w:pPr>
        <w:spacing w:after="0" w:line="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If we are not able to successfully identify, finance, integrate and/or manage costs related to acquisitions, our business operations and financial position could be adversely affected.</w:t>
      </w:r>
    </w:p>
    <w:p>
      <w:pPr>
        <w:spacing w:after="0" w:line="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companies. For example, we may be unable to close the Welk Resorts acquisition, ensure it complies with our public company financial reporting, disclosure and corporate governance requirements and realize expected synergies when or as expected. Failure to achieve the anticipated benefits of any acquisition may adversely affect our financial condition, operating results and prospects. Acquisitions may also significantly increase our debt or result in dilutive issuances of our equity securities, write-offs of goodwill or substantial amortization expenses associated with other intangible assets.</w:t>
      </w:r>
    </w:p>
    <w:p>
      <w:pPr>
        <w:spacing w:after="0" w:line="6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For example, in response to the COVID pandemic, we increased our sales reserve due to higher default expectations and revised our estimates of the fair value of our reporting units, resulting in the impairment of goodwill.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0" w:name="page31"/>
    <w:bookmarkEnd w:id="30"/>
    <w:p>
      <w:pPr>
        <w:ind w:left="660"/>
        <w:spacing w:after="0"/>
        <w:rPr>
          <w:sz w:val="20"/>
          <w:szCs w:val="20"/>
          <w:color w:val="auto"/>
        </w:rPr>
      </w:pPr>
      <w:r>
        <w:rPr>
          <w:rFonts w:ascii="Arial" w:cs="Arial" w:eastAsia="Arial" w:hAnsi="Arial"/>
          <w:sz w:val="15"/>
          <w:szCs w:val="15"/>
          <w:b w:val="1"/>
          <w:bCs w:val="1"/>
          <w:i w:val="1"/>
          <w:iCs w:val="1"/>
          <w:color w:val="auto"/>
        </w:rPr>
        <w:t>The growth of our business and execution of our business strategies depend on the services of our senior management and our associates.</w:t>
      </w:r>
    </w:p>
    <w:p>
      <w:pPr>
        <w:spacing w:after="0" w:line="1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business is based on successfully attracting and retaining talented associates. The market for highly skilled associates and leaders in our industry is extremely competitive. If we are less successful in our recruiting efforts, or if we are unable to retain management and other key associates, our ability to develop and deliver successful products and services may be adversely affected. Effective succession planning is also important to our long-term success. The departure of a key executive or associate and/or the failure to ensure an effective transfer of knowledge and a smooth transition upon such departure may be disruptive to the business and could hinder our strategic planning and execution.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vacation ownership business.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the applicable licensor may be entitled to terminate the license agreement and our rights to use its brands in connection with our businesses. In addition, if any of our properties does not meet applicable brand standards, the applicable licensor can terminate our right to use its trademarks at the subject properties.</w:t>
      </w:r>
    </w:p>
    <w:p>
      <w:pPr>
        <w:spacing w:after="0" w:line="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termination of our license agreements with Marriott International or its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and/or Westin brands to attract qualified prospects in the marketplace would likely cause our revenue and profits to decline and our marketing and sales expenses to increase. Our inability to market to guests in hotels affiliated with our licensors that are located near one of our sales locations or maintain our marketing partnerships with North American Marriott International reservation centers would cause our sales to decline, which could adversely affect our financial conditions and result of operations. In addition, we would not be able to use the brand websites as channels through which to rent available inventory, which would cause our rental revenue to decline materially.</w:t>
      </w:r>
    </w:p>
    <w:p>
      <w:pPr>
        <w:spacing w:after="0" w:line="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license agreements also allow us to offer points to members of the loyalty programs associated with the Marriott, Sheraton, Westin and Hyatt brands, which provides us with the opportunity to market directly to these members. The termination of the license agreements with Marriott International or Hyatt would eliminate this valuable marketing channel.</w:t>
      </w:r>
    </w:p>
    <w:p>
      <w:pPr>
        <w:spacing w:after="0" w:line="7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must also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3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6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and/or Hyatt is reduced or compromised, the goodwill associated with these brands may be adversely affected, which may adversely affect our market share, reputation, business, financial condition or results of operations. The positioning and offerings of any of these brands and/or their related customer loyalty programs, could change in a manner that adversely affects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Marriott International could compete with our vacation ownership business in the future.</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license agreement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If Marriott International offers new vacation ownership products and services under its trademarks, it may compete directly with our vacation ownership products and services, and we may not be able to distinguish our vacation ownership products and services from those offered by Marriott International.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If a branded hotel property co-located with one of our resorts ceases to be affiliated with the same brand as our resort or a related brand, our business could be harmed.</w:t>
      </w:r>
    </w:p>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Approximately a quarter of our Vacation Ownership segment resorts are co-located with same-branded hotel properties. If a branded hotel property with which one of our resorts is co-located ceases to be operated by or affiliated with the same brand as our resort, which has happened in the past, we could lose benefits such as sharing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could also lose our on-site access to hotel customers, including brand customer loyalty program members, at such resorts, which is a cost-effective marketing channel for our vacation ownership products, and our sales may decline.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have inventory available for sale when needed.</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may enter into capital-efficient transactions to source inventory in which third parties agree to deliver completed units to us at pre-agreed prices in the future.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sale of vacation ownership interests in the secondary market by existing owners could cause our sales revenues and profits to decline.</w:t>
      </w:r>
    </w:p>
    <w:p>
      <w:pPr>
        <w:spacing w:after="0" w:line="1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of VOIs by existing owners, which are typically at lower prices than the prices at which we would sell interests, can create pricing pressure on our sale of vacation ownership products and cause our sales revenues and profits to decline. In addition, unlawful or deceptive third-party VOI resale schemes involving interests in our resorts could damage our reputation and brand value and adversely impact our sales revenues. Development of a more robust secondary market may also cause the volume of lower-cost VOI inventory that we are able to repurchase to supplement our inventory needs to decline, which could adversely impact our development margin.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connection with our vacation ownership business, we provide loans to purchasers to finance their purchase of VOIs. Accordingly, we are subject to the risk that purchasers of our VOIs may default on the financing that we provide. The risk of purchaser defaults may increase due to man-made or natural disasters, which cause financial hardship for purchasers. The risk of purchaser defaults may also increase if we do not evaluate accurately the creditworthiness of the customers to whom we extend financing or due to the influence of timeshare relief firms. Purchaser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w:t>
      </w:r>
    </w:p>
    <w:p>
      <w:pPr>
        <w:spacing w:after="0" w:line="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default rates increase beyond current projections and result in higher than expected foreclosure activity, our results of operations could be adversely affected. Purchaser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or revoked interests in a timely manner or for an attractive price which could result in an adverse impact on our results from operations. If the reclaimed interests have declined in value, we may incur impairment losses that reduce our profits.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purchaser, or if the allowances for losses from such defaults are inadequate, the revenues and profits that we derive from the vacation ownership business could be reduced.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Selling VOIs in a system of resorts under a points-based business model increases the risk of temporary inventory depletion. Currently, our VOI sales are made primarily through a limited number of trust entities that issue VOIs. This structure can lead to a temporary depletion of inventory available for sale caused by: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decline in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project development activities entail risks that may cause project delays or increased project costs and therefore may adversely impact our results of operations, cash flows and financial condition, including:</w:t>
      </w:r>
    </w:p>
    <w:p>
      <w:pPr>
        <w:spacing w:after="0" w:line="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delays or cost overruns;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of skilled labor;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for construction defects, including claims by purchasers and property owners’ associations;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discovery of hazardous or toxic substances, or other environmental, culturally-sensitive, or related issues;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timely obtain required governmental permits and authorizations;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zoning, building codes and other local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by third parties involved in the financing and development of our projects;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or availability of raw materials;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interference of weather-related, geological or other events, such as hurricanes, earthquakes, floods, tsunamis, fires, and volcanic eruptions.</w:t>
      </w:r>
    </w:p>
    <w:p>
      <w:pPr>
        <w:spacing w:after="0" w:line="14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Our resort management business may be adversely effected by the loss of management contracts, failure of resorts to comply with brand standards, increased maintenance fees and disagreements with owners.</w:t>
      </w:r>
    </w:p>
    <w:p>
      <w:pPr>
        <w:spacing w:after="0" w:line="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Owners of our VOIs are required to pay maintenance costs to maintain and refurbish the vacation ownership properties and keep them in compliance with brand standards. If a resort fails to comply with applicable brand standards, the applicable licensor could terminate our rights to use its trademarks at the resort, which would result in the loss of management fees, decreased customer satisfaction, and impairment of our ability to market and sell our products at the non-compliant locations. Increases in maintenance fees to keep pace with maintenance and other costs may make our products less desirable, which could negatively impact sales and cause an increase in defaults on our vacation ownership notes receivable portfolio. If the property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revenues and profits.</w:t>
      </w:r>
    </w:p>
    <w:p>
      <w:pPr>
        <w:spacing w:after="0" w:line="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From time to time, disagreements arise between us and the owners of VOIs and property owners’ associations. For example, owners of our VOIs have disagreed, and may in the future disagree, with changes we make to our products or programs. Sometimes, disagreements with owners and owners’ associations result in litigation and/or the loss of management contracts. If any such litigation results in a significant adverse judgment or settlement, we could suffer significant losses, our profits could be reduced, our reputation could be harmed and our future ability to operate our business could be constrained.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The effects of climate change, such as increased storm intensity and rising sea levels, may also increase the cost of property insurance and decrease our coverage levels. In addition, in the event of a substantial loss, the insurance coverage we carry may not be sufficient to pay the full market value or replacement cost of our lost investment or that of owners of VOIs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exchange and third-party management business.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Our Exchange &amp; Third-Party Management business depends on relationships with developers, members and others, and any adverse changes in these relationships could adversely affect our business, financial condition, and results of operations.</w:t>
      </w:r>
    </w:p>
    <w:p>
      <w:pPr>
        <w:spacing w:after="0" w:line="6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Our Interval International business depends on vacation ownership developers for new members and on members and participants to renew their existing memberships and otherwise engage in transactions. Developers and members also supply resort accommodations for use in exchanges and Getaways. Our vacation rental business depends on vacation property and hotel owners for vacation properties to rent to vacationers.</w:t>
      </w:r>
    </w:p>
    <w:p>
      <w:pPr>
        <w:spacing w:after="0" w:line="4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are unable to negotiate new affiliation agreements with resort developers or secure renewals with existing members or developers in our Interval International network, the number of new and/or existing members, the supply of resort accommodations available through our exchange networks and related revenue will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impact our financial condition and results of operations. Our ability to maintain affiliation agreements with resort developers is also impacted by consolidation in the vacation ownership industry. Consolidation can also lead to larger competitors with greater resources that compete with our vacation ownership business for customers, projects and talent.</w:t>
      </w:r>
    </w:p>
    <w:p>
      <w:pPr>
        <w:spacing w:after="0" w:line="5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materially adversely effect on our business, financial condition and results of operations.</w:t>
      </w:r>
    </w:p>
    <w:p>
      <w:pPr>
        <w:spacing w:after="0" w:line="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Similarly, the failure of our third-party management businesses to maintain existing or negotiate new management agreements with hotel and vacation property owners or owners associations, as a result of the sale of property to third parties, contract disputes or otherwise, or the failure of vacationers to book vacation rentals through these businesses would result in a decrease in related revenue, which would have an adverse effect on our business, financial condition and results of operations.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Insufficient availability of exchange inventory may adversely affect our profits.</w:t>
      </w:r>
    </w:p>
    <w:p>
      <w:pPr>
        <w:spacing w:after="0" w:line="11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is influenced by a variety of factors, such as: economic conditions; health and safety concerns, including concerns and travel restrictions relating to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networks, and the numbers of members of such resorts. The number of developers affiliated with our exchange networks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profits.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indebtedness may restrict our operations.</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December 31, 2020, we had approximately $2,722 million of total corporate indebtedness outstanding and could borrow an additional $597 million under the Revolving Corporate Credit Facility. Since that date, we issued an additional $575 million in convertible senior notes. The credit agreement that governs the Corporate Credit Facility and the indentures that govern the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All of these covenants and restrictions limit how we conduct our business. The Corporate Credit Facility also requires us to maintain a specified leverage ratio; this requirement has been waived until December 31, 2021, provided that we maintain a monthly minimum liquidity of $300 million. These restrictions could restrict our flexibility to react to changes in our businesses, industries and economic conditions and increase borrowing costs.</w:t>
      </w:r>
    </w:p>
    <w:p>
      <w:pPr>
        <w:spacing w:after="0" w:line="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comply with our debt agreements, or to raise additional capital when needed, our business, cash flow, liquidity, and results of operations could be harmed.</w:t>
      </w:r>
    </w:p>
    <w:p>
      <w:pPr>
        <w:spacing w:after="0" w:line="6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7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obligations. We may not have sufficient cash to repay any accelerated debt obligations, which would immediately and materially harm our business, results of operations and financial condition.</w:t>
      </w:r>
    </w:p>
    <w:p>
      <w:pPr>
        <w:spacing w:after="0" w:line="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be required to raise additional capital to refinance our existing debt, or to expand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revenues and profits.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substantially more debt, which could exacerbate further the risks associated with our leverage.</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and our subsidiaries may incur substantial additional indebtedness in the future, including secured indebtedness, as well as obligations that do not constitute indebtedness as defined in our debt agreements. To the extent that we and our subsidiaries incur additional indebtedness or such other obligations, the risks associated with our substantial indebtedness described above will increase.</w:t>
      </w:r>
    </w:p>
    <w:p>
      <w:pPr>
        <w:spacing w:after="0" w:line="7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could be jeopardized, and we could be forced to rely on other potentially more expensive and less attractive funding sources, to the extent available.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relating to our convertible notes.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Holders of our convertible notes may convert the convertible notes after the occurrence of certain dates or events. See Footnote 17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76"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way we account for our convertible notes may impact our reported or future financial results and the market price of our common stock. For example, the application of current accounting standards result in our reporting lower net income (or greater net loss) in our financial results because interest must include both the current period’s amortization of the debt discount and the instrument’s coupon interest. See Footnote 17 “Debt,” to our Financial Statements for additional information regarding current and pending methods of accounting for our convertible notes.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relating to the convertible note hedges and warrants.</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 connection with the convertible notes, we entered into privately negotiated convertible note hedges to reduce potential dilution to our common stock and/or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w:t>
      </w:r>
    </w:p>
    <w:p>
      <w:pPr>
        <w:spacing w:after="0" w:line="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These parties may modify their hedge positions by entering into or unwinding various derivatives with respect to our common stock and/or buying or selling our common stock in the secondary market. Any of these activities could cause or prevent an increase or a decline in the market price of our common stock.</w:t>
      </w:r>
    </w:p>
    <w:p>
      <w:pPr>
        <w:spacing w:after="0" w:line="8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adversely affected by changes in LIBOR reporting practices.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approximately $884 million of our gross aggregate consolidated indebtedness was indexed to the London Interbank Offered Rate (“LIBOR”) and we were party to $550 million of derivative instruments indexed to LIBOR. In addition, funding costs related to our $600 million Revolving Corporate Credit Facility and $350 million Warehouse Credit Facility, which were both undrawn at December 31, 2020 except for $3 million in letters of credit outstanding, are generally indexed to LIBOR. The U.K. authority that regulates LIBOR announced that it will not compel banks to submit rates for the calculation of LIBOR after June 2023. There is considerable uncertainty regarding the publication of such rates beyond June 2023. A committee convened by the U.S. Federal Reserve to oversee the transition process for LIBOR rates quoted in U.S. dollars recommended the Secured Overnight Financing Rate as the alternative to LIBOR rates quoted in U.S. dollars. Other authorities have recommended alternatives to LIBOR rates quoted in other currencies. The full impact of any transition away from LIBOR remains unclear and these changes may have a material adverse impact on the availability of financing, including LIBOR-based loans, and on our financing costs. To the extent our interest rates increase, our interest expense will increase, which could adversely affect our financial condition, operating results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shareholder value and could increase the volatility of the market price of our common stock and diminish our cash.</w:t>
      </w:r>
    </w:p>
    <w:p>
      <w:pPr>
        <w:spacing w:after="0" w:line="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share repurchase program does not obligate us to repurchase any shares of our common stock. We have temporarily suspended our share repurchase program in response to the COVID-19 pandemic and to comply with contractual constraints on our ability to repurchase our shares. When and if we resume the program, the timing and amount of any repurchases will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 of a share repurchase program could cause our stock price to be higher than it would be absent the program and could reduce market liquidity for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ind w:right="460"/>
        <w:spacing w:after="0" w:line="311" w:lineRule="auto"/>
        <w:rPr>
          <w:sz w:val="20"/>
          <w:szCs w:val="20"/>
          <w:color w:val="auto"/>
        </w:rPr>
      </w:pPr>
      <w:r>
        <w:rPr>
          <w:rFonts w:ascii="Arial" w:cs="Arial" w:eastAsia="Arial" w:hAnsi="Arial"/>
          <w:sz w:val="16"/>
          <w:szCs w:val="16"/>
          <w:color w:val="auto"/>
        </w:rPr>
        <w:t>stock. Use of our funds to repurchase shares could diminish our cash reserves, which may impact our ability to finance growth, pursue strategic opportunities, and discharge liabilities. Our share repurchases may not enhance shareholder value because the market price of our common stock may decline below the prices at which we repurchased shares and short-term stock price fluctuations could reduce the program’s effectiveness.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may not declare or pay dividends in the future at any particular rate or at all. Our Board of Directors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of Directors considers relevant. Certain of the agreements governing our indebtedness restrict our ability and/ or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Anti-takeover provisions in our organizational documents, Delaware law and in certain of our agreements could delay or prevent a change 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w:t>
      </w:r>
    </w:p>
    <w:p>
      <w:pPr>
        <w:spacing w:after="0" w:line="1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Provisions of our Charter and Bylaws, as well as provisions in the agreements with our licensors, may delay or prevent a merger or acquisition that a shareholder may consider favorable. For example, our Charter and Bylaws provide for a classified board, require advance notice for shareholder proposals and nominations, place limits on convening shareholder meetings and authorize our Board of Directors to issue one or more series of preferred stock. Delaware law also restricts some business combinations between any holder of 15 percent or more of our outstanding common stock and us. The fact that these provisions and statutory restrictions may discourage acquisition proposals or delay or prevent a change in control could harm our stock price. Delaware law also restricts some business combinations between any holder of 15 percent or more of our outstanding common stock and us.</w:t>
      </w:r>
    </w:p>
    <w:p>
      <w:pPr>
        <w:spacing w:after="0" w:line="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a change in control could result in an acceleration of our obligations under the Corporate Credit Facility or the indentures that govern our senior notes. The threat of our debt being accelerated in connection with a change in control could make it more difficult for us to attract potential buyers or to consummate a change in control transaction that would otherwise be beneficial to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Vistana Spin-Off.</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ILG Acquisition could result in material liability if it causes the Vistana Spin-Off to be taxable.</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Vistana’s spin-off from Starwood and acquisition by ILG (the “Vistana Spin-Off”), ILG and Vistana entered into a Tax Matters Agreement that restricts them from actions or omissions that would cause the Vistana Spin-Off to become taxable. Failure to adhere to these restrictions, including in certain circumstances that may be outside of our control, could result in tax being imposed on Starwood or its shareholders for which we may be obligated to indemnify Starwood. Even if we are not responsible for such tax liabilities under the Tax Matters Agreement, we may be liable under applicable tax law for such liabilities if Starwood fails to pay such taxes. For two years after the Vistana Spin-Off, the Tax Matters Agreement prohibited Vistana and ILG from taking certain actions involving their stock or Vistana’s assets because the Vistana Spin-Off would be taxable to Starwood (but not to Starwood shareholders) pursuant to Section 355(e) of the Internal Revenue Code if there was a direct or indirect 50% or greater change in Vistana’s ownership as part of a plan or series of related transactions including the Vistana Spin-Off. The Vistana acquisition was not expected to violate this rule because Starwood shareholders held over 50% by vote and value of ILG stock (and, thus, indirectly, of Vistana) immediately after the Vistana acquisition. However, the ILG Acquisition diluted the indirect ownership of Vistana by its former shareholders below 50%. We received an opinion from KPMG LLP that entering into the ILG Acquisition would not affect the tax-free status of the Vistana Spin-Off; however, this opinion does not bind the IRS or any court. If the IRS asserts that the ILG Acquisition is part of a plan or series of related transactions including the Vistana Spin-Off and the Vistana acquisition, and this assertion is sustained, the Vistana Spin-Off would be subject to the application of Section 355(e) of the Code, and we would be liable to indemnify Starwood (or Marriott International) for any resulting tax liability pursuant to the Tax Matters Agreement.</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December 31, 2020, our vacation ownership portfolio consisted of over 100 properties in the United States and twelve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own or lease our regional offices and sales centers, both in the United States and internationally. We lease our corporate headquarters in Orlando, Florida under leases that begin to expire in 2021. In January 2020, we entered into a lease agreement for our new global headquarters in Orlando. The new office building will be developed by a third-party and is expected to be completed in 2024. See Footnote 15 “Leases” for information.</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14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60" w:right="2440" w:hanging="359"/>
        <w:spacing w:after="0" w:line="282"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common stock currently is traded on the New York Stock Exchange, or the “NYSE,” under the symbol “VAC.” In response to the impact of COVID-19, we temporarily suspended cash dividends. In May 2020, we entered into a waiver (the “Waiver”) to the agreement that governs our Corporate Credit Facility that, among other things, suspends our requirement to comply with the leverage covenant in the Revolving Corporate Credit Facility for up to four quarters, and prohibits us from making certain restricted payments, including dividends. In February 2021, we extended the suspension period included in the Waiver through the end of 2021. Subject to compliance with the Waiver, and the other restrictions on payment of dividends in our Corporate Credit Facility, any future dividend payments will be subject to Board approval, which will depend on our financial condition, results of operations and capital requirements, as well as applicable law, regulatory and contractual constraints, industry practice and other business considerations that our Board of Directors considers relevant. In addition the indentures governing our senior notes contain restrictions on our ability to pay dividends, and the terms of agreements governing debt that we may incur in the future may also limit or prohibit dividend payments. The payment of certain cash dividends may also result in an adjustment to the conversion rate of our 1.50% Convertible Senior Notes due 2022 (“2022 Convertible Notes”) in a manner adverse to us. Accordingly, there can be no assurance that we will pay dividends in the future at any particular rate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2021, there were 25,731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On July 30, 2019, our Board of Directors authorized the extension of the duration of our then-existing share repurchase program to December 30, 2020, as well as the repurchase of up to 4.5 million additional shares of our common stock. Due to the impact of the impact of the COVID-19 pandemic, we temporarily suspended repurchasing shares of our common stock in April 2020. Our share repurchase program expired on December 31, 2020.</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85725</wp:posOffset>
            </wp:positionV>
            <wp:extent cx="5366385" cy="3874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6638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above graph compares the relative performance of our common stock, the S&amp;P MidCap 400 Index (which has included our common stock since the acquisition of ILG), and the S&amp;P Composite 1500 Hotels, Resorts &amp; Cruise Lines Index. The graph assumes that $100 was invested in our common stock and each index on January 1, 2016. The stock price performance reflected above is not necessarily indicative of future stock price performance. The foregoing performance graph is being furnished as part of this Annual Report solely in accordance with the requirement under Rule 14a-3(b)(9) to furnish our shareholders with such information, and therefore, shall not be deemed to be filed or incorporated by reference into any filings by the Company under the Securities Act of 1933, as amended, or the Exchange Act.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9" w:name="page40"/>
    <w:bookmarkEnd w:id="39"/>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table presents a summary of our selected historical consolidated financial data for the periods indicated below. Because this information is only a summary and does not provide all of the information contained in our Financial Statements, including the related notes, it should be read in conjunction with “Item 7—Management’s Discussion and Analysis of Financial Condition and Results of Operations,” and our Financial Statements for each year for more detailed information.</w:t>
      </w: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80"/>
              <w:spacing w:after="0" w:line="228" w:lineRule="exact"/>
              <w:rPr>
                <w:sz w:val="20"/>
                <w:szCs w:val="20"/>
                <w:color w:val="auto"/>
              </w:rPr>
            </w:pPr>
            <w:r>
              <w:rPr>
                <w:rFonts w:ascii="Arial" w:cs="Arial" w:eastAsia="Arial" w:hAnsi="Arial"/>
                <w:sz w:val="16"/>
                <w:szCs w:val="16"/>
                <w:b w:val="1"/>
                <w:bCs w:val="1"/>
                <w:color w:val="auto"/>
              </w:rPr>
              <w:t>Fiscal Years</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member statistics)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1"/>
              <w:spacing w:after="0" w:line="210"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4,259</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Revenues net of total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shareholders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(loss) earnings per share attributable to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shareholders</w:t>
            </w: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Diluted (loss) earnings per share attributable to common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shareholders</w:t>
            </w: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9,214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Securitized debt,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MVW shareholders' equity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Statistics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b w:val="1"/>
                <w:bCs w:val="1"/>
                <w:color w:val="auto"/>
              </w:rPr>
              <w:t>Vacation Ownership</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contract sales</w:t>
            </w:r>
            <w:r>
              <w:rPr>
                <w:rFonts w:ascii="Arial" w:cs="Arial" w:eastAsia="Arial" w:hAnsi="Arial"/>
                <w:sz w:val="9"/>
                <w:szCs w:val="9"/>
                <w:color w:val="auto"/>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5080" w:type="dxa"/>
            <w:vAlign w:val="bottom"/>
          </w:tcPr>
          <w:p>
            <w:pPr>
              <w:ind w:left="480"/>
              <w:spacing w:after="0"/>
              <w:rPr>
                <w:sz w:val="20"/>
                <w:szCs w:val="20"/>
                <w:color w:val="auto"/>
              </w:rPr>
            </w:pPr>
            <w:r>
              <w:rPr>
                <w:rFonts w:ascii="Arial" w:cs="Arial" w:eastAsia="Arial" w:hAnsi="Arial"/>
                <w:sz w:val="18"/>
                <w:szCs w:val="18"/>
                <w:color w:val="auto"/>
              </w:rPr>
              <w:t>Consolidated contract sales</w:t>
            </w:r>
            <w:r>
              <w:rPr>
                <w:rFonts w:ascii="Arial" w:cs="Arial" w:eastAsia="Arial" w:hAnsi="Arial"/>
                <w:sz w:val="9"/>
                <w:szCs w:val="9"/>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Exchange &amp; Third-Party Management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80"/>
              <w:spacing w:after="0" w:line="176" w:lineRule="exact"/>
              <w:rPr>
                <w:sz w:val="20"/>
                <w:szCs w:val="20"/>
                <w:color w:val="auto"/>
              </w:rPr>
            </w:pPr>
            <w:r>
              <w:rPr>
                <w:rFonts w:ascii="Arial" w:cs="Arial" w:eastAsia="Arial" w:hAnsi="Arial"/>
                <w:sz w:val="18"/>
                <w:szCs w:val="18"/>
                <w:color w:val="auto"/>
                <w:w w:val="97"/>
              </w:rPr>
              <w:t>Total active Interval International members at end of period</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480"/>
              <w:spacing w:after="0"/>
              <w:rPr>
                <w:sz w:val="20"/>
                <w:szCs w:val="20"/>
                <w:color w:val="auto"/>
              </w:rPr>
            </w:pPr>
            <w:r>
              <w:rPr>
                <w:rFonts w:ascii="Arial" w:cs="Arial" w:eastAsia="Arial" w:hAnsi="Arial"/>
                <w:sz w:val="18"/>
                <w:szCs w:val="18"/>
                <w:color w:val="auto"/>
              </w:rPr>
              <w:t>(000's)</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Average revenue per Interval International member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60" w:right="440" w:hanging="652"/>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 2017, we changed our financial reporting cycle to a calendar year-end reporting cycle. All fiscal years presented before 2017 included 52 weeks.</w:t>
      </w:r>
    </w:p>
    <w:p>
      <w:pPr>
        <w:sectPr>
          <w:pgSz w:w="11900" w:h="16838" w:orient="portrait"/>
          <w:cols w:equalWidth="0" w:num="1">
            <w:col w:w="11140"/>
          </w:cols>
          <w:pgMar w:left="320" w:top="999" w:right="4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Data presented herein has been reclassified to conform to our 2019 financial statement presentation.</w:t>
      </w:r>
    </w:p>
    <w:p>
      <w:pPr>
        <w:spacing w:after="0" w:line="63" w:lineRule="exact"/>
        <w:rPr>
          <w:sz w:val="20"/>
          <w:szCs w:val="20"/>
          <w:color w:val="auto"/>
        </w:rPr>
      </w:pPr>
    </w:p>
    <w:p>
      <w:pPr>
        <w:ind w:left="20" w:right="40" w:hanging="11"/>
        <w:spacing w:after="0" w:line="289" w:lineRule="auto"/>
        <w:rPr>
          <w:sz w:val="20"/>
          <w:szCs w:val="20"/>
          <w:color w:val="auto"/>
        </w:rPr>
      </w:pPr>
      <w:r>
        <w:rPr>
          <w:rFonts w:ascii="Arial" w:cs="Arial" w:eastAsia="Arial" w:hAnsi="Arial"/>
          <w:sz w:val="16"/>
          <w:szCs w:val="16"/>
          <w:color w:val="auto"/>
        </w:rPr>
        <w:t>Contract sales consist of the total amount of vacation ownership product sales under contract signed during the period where we have received a down payment of typically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in our income statements due to the requirements for revenue recognition described in Footnote 2 “Summary of Significant Accounting Policies” to our Financial Statements. We consider contract sales to be an important operating measure because it reflects the pace of sales in our business. Total contract sales include contract sales from the sale of vacation ownership products including joint ventures. Consolidated contract sales exclude contract sales from the sale of vacation ownership products for non-consolidated joint ventures.</w:t>
      </w:r>
    </w:p>
    <w:p>
      <w:pPr>
        <w:spacing w:after="0" w:line="200" w:lineRule="exact"/>
        <w:rPr>
          <w:sz w:val="20"/>
          <w:szCs w:val="20"/>
          <w:color w:val="auto"/>
        </w:rPr>
      </w:pPr>
    </w:p>
    <w:p>
      <w:pPr>
        <w:sectPr>
          <w:pgSz w:w="11900" w:h="16838" w:orient="portrait"/>
          <w:cols w:equalWidth="0" w:num="2">
            <w:col w:w="140" w:space="500"/>
            <w:col w:w="10500"/>
          </w:cols>
          <w:pgMar w:left="320" w:top="999" w:right="439" w:bottom="1440" w:gutter="0" w:footer="0" w:header="0"/>
          <w:type w:val="continuous"/>
        </w:sect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type w:val="continuous"/>
        </w:sectPr>
      </w:pPr>
    </w:p>
    <w:bookmarkStart w:id="40" w:name="page41"/>
    <w:bookmarkEnd w:id="40"/>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Our discussion and analysis of fiscal year 2020 to fiscal year 2019 is included herein. Our discussion and analysis of fiscal year 2019 to fiscal year 2018 has been omitted from this Form 10-K and can be found in Part II, “Item 7. Management’s Discussion and Analysis of Financial Condition and Results of Operations” of our Annual Report on Form 10-K for the fiscal year ended December 31, 2019, which was filed with the Securities and Exchange Commission on March 2,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Consolidated Property Owners’ Associations.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The COVID-19 pandemic has caused significant disruptions in international and U.S. economies and markets. We discuss the COVID-19 pandemic and its current and potential future implications in this report; however, the COVID-19 pandemic is evolving and its potential impact on our business in the future remains uncertain. Please see “</w:t>
      </w:r>
      <w:r>
        <w:rPr>
          <w:rFonts w:ascii="Arial" w:cs="Arial" w:eastAsia="Arial" w:hAnsi="Arial"/>
          <w:sz w:val="18"/>
          <w:szCs w:val="18"/>
          <w:i w:val="1"/>
          <w:iCs w:val="1"/>
          <w:color w:val="auto"/>
        </w:rPr>
        <w:t>Impact of COVID-19 Pandemic</w:t>
      </w:r>
      <w:r>
        <w:rPr>
          <w:rFonts w:ascii="Arial" w:cs="Arial" w:eastAsia="Arial" w:hAnsi="Arial"/>
          <w:sz w:val="18"/>
          <w:szCs w:val="18"/>
          <w:color w:val="auto"/>
        </w:rPr>
        <w:t>” included in “</w:t>
      </w:r>
      <w:r>
        <w:rPr>
          <w:rFonts w:ascii="Arial" w:cs="Arial" w:eastAsia="Arial" w:hAnsi="Arial"/>
          <w:sz w:val="18"/>
          <w:szCs w:val="18"/>
          <w:i w:val="1"/>
          <w:iCs w:val="1"/>
          <w:color w:val="auto"/>
        </w:rPr>
        <w:t>Item 1. Business</w:t>
      </w:r>
      <w:r>
        <w:rPr>
          <w:rFonts w:ascii="Arial" w:cs="Arial" w:eastAsia="Arial" w:hAnsi="Arial"/>
          <w:sz w:val="18"/>
          <w:szCs w:val="18"/>
          <w:color w:val="auto"/>
        </w:rPr>
        <w:t>” for additional discussion on the COVID-19 pandemic and its impact on our business.</w:t>
      </w:r>
    </w:p>
    <w:p>
      <w:pPr>
        <w:spacing w:after="0" w:line="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a result of the COVID-19 pandemic, in September 2020, a workforce reduction plan was approved, which impacted approximately 3,000 associates beginning in November 2020. We expect that we will incur approximately $30 to $35 million in restructuring and related charges primarily related to employee severance and benefit costs, including a portion that is included in cost reimbursements. See Footnote 3 “Restructuring Charges” to our Financial Statements for more information about the restructuring charges recorded as a result of the COVID-19 pandemic.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recognize revenues from the sale of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As a result of the revenue recognition requirements included in Accounting Standards Codification (“ASC”)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(“ASC 606”), there may be timing differences between the date of the contract with the customer and when revenue is recognized.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comparing results year-over-year, this timing difference may generate significant variances, which we refer to as the impact of revenue reportability.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1" w:name="page42"/>
    <w:bookmarkEnd w:id="41"/>
    <w:p>
      <w:pPr>
        <w:ind w:right="6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received a down payment of typically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680" w:firstLine="648"/>
        <w:spacing w:after="0" w:line="274"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Fiscal Years</w:t>
            </w:r>
          </w:p>
        </w:tc>
        <w:tc>
          <w:tcPr>
            <w:tcW w:w="176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2018</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7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738</w:t>
            </w:r>
          </w:p>
        </w:tc>
      </w:tr>
    </w:tbl>
    <w:p>
      <w:pPr>
        <w:spacing w:after="0" w:line="20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approximately ten years. Included within our vacation ownership notes receivable are originated vacation ownership notes receivable and vacation ownership notes receivable acquired in connection with the ILG Acquisition.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2" w:name="page43"/>
    <w:bookmarkEnd w:id="42"/>
    <w:p>
      <w:pPr>
        <w:ind w:firstLine="648"/>
        <w:spacing w:after="0" w:line="276" w:lineRule="auto"/>
        <w:rPr>
          <w:sz w:val="20"/>
          <w:szCs w:val="20"/>
          <w:color w:val="auto"/>
        </w:rPr>
      </w:pPr>
      <w:r>
        <w:rPr>
          <w:rFonts w:ascii="Arial" w:cs="Arial" w:eastAsia="Arial" w:hAnsi="Arial"/>
          <w:sz w:val="16"/>
          <w:szCs w:val="16"/>
          <w:color w:val="auto"/>
        </w:rPr>
        <w:t>Acquired vacation ownership notes receivable are accounted for using the purchased credit deteriorated assets provision of the current expected credit loss model. At acquisition, we recorded these vacation ownership notes receivable at fair value. Upon adoption of Accounting Standards Update 2016-13 –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on January 1, 2020,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w:t>
      </w:r>
    </w:p>
    <w:p>
      <w:pPr>
        <w:spacing w:after="0" w:line="53" w:lineRule="exact"/>
        <w:rPr>
          <w:sz w:val="20"/>
          <w:szCs w:val="20"/>
          <w:color w:val="auto"/>
        </w:rPr>
      </w:pPr>
    </w:p>
    <w:p>
      <w:pPr>
        <w:jc w:val="both"/>
        <w:ind w:right="600" w:firstLine="648"/>
        <w:spacing w:after="0" w:line="301" w:lineRule="auto"/>
        <w:rPr>
          <w:sz w:val="20"/>
          <w:szCs w:val="20"/>
          <w:color w:val="auto"/>
        </w:rPr>
      </w:pPr>
      <w:r>
        <w:rPr>
          <w:rFonts w:ascii="Arial" w:cs="Arial" w:eastAsia="Arial" w:hAnsi="Arial"/>
          <w:sz w:val="16"/>
          <w:szCs w:val="16"/>
          <w:color w:val="auto"/>
        </w:rPr>
        <w:t>In addition, we established a noncredit discount,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 See Footnote 7 “Vacation Ownership Notes Receivable” to our Financial Statements for further information regarding the accounting for acquired vacation ownership notes receivable.</w:t>
      </w:r>
    </w:p>
    <w:p>
      <w:pPr>
        <w:spacing w:after="0" w:line="4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51 percent in 2020 and 63 percent in 2019, with the year-over-year decline being driven by programs we offered to incent cash purchases. We expect to continue offering financing incentive programs in 2021 and that interest income will begin to increase when new originations of vacation ownership notes receivable outpace the decline in principal of existing vacation ownership notes receivable, most likely in 2022.</w:t>
      </w:r>
    </w:p>
    <w:p>
      <w:pPr>
        <w:spacing w:after="0" w:line="60"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Fiscal Years</w:t>
            </w:r>
          </w:p>
        </w:tc>
        <w:tc>
          <w:tcPr>
            <w:tcW w:w="176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2018</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7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increase in default rates in 2020 was predominantly due to the impact of the COVID-19 pandemic on the performance of our notes receivable portfolio. See Footnote 7, “Vacation Ownership Notes Receivable” to our Financial Statements for additional information regarding the COVID-19 impact on our vacation ownership notes receivable reserves.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the Explorer Collection.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7"/>
          <w:szCs w:val="17"/>
          <w:i w:val="1"/>
          <w:iCs w:val="1"/>
          <w:color w:val="auto"/>
        </w:rPr>
        <w:t>Real Estate - Time-Sharing Activities</w:t>
      </w:r>
      <w:r>
        <w:rPr>
          <w:rFonts w:ascii="Arial" w:cs="Arial" w:eastAsia="Arial" w:hAnsi="Arial"/>
          <w:sz w:val="17"/>
          <w:szCs w:val="17"/>
          <w:color w:val="auto"/>
        </w:rPr>
        <w:t>” (“ASC 978”). The rental activity associated with discounted vacation packages requiring a tour (“preview stays”) is not included in rental metrics, and because the majority of these preview stays are sourced directly or indirectly from unsold inventory, the associated revenues and expenses are reported net in Marketing and sales expense.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3" w:name="page44"/>
    <w:bookmarkEnd w:id="43"/>
    <w:p>
      <w:pPr>
        <w:ind w:right="20"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offerings available as part of the Explorer Collection and through the Interval Options program, for owners who elect to exchange their inventory;</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620" w:hanging="316"/>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117" w:lineRule="exact"/>
        <w:rPr>
          <w:rFonts w:ascii="Arial" w:cs="Arial" w:eastAsia="Arial" w:hAnsi="Arial"/>
          <w:sz w:val="18"/>
          <w:szCs w:val="18"/>
          <w:color w:val="auto"/>
        </w:rPr>
      </w:pPr>
    </w:p>
    <w:p>
      <w:pPr>
        <w:ind w:left="1620" w:hanging="316"/>
        <w:spacing w:after="0"/>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Consolidated contract sales exclude contracts sales from the sale of vacation ownership products for non-consolidated joint ventures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980" w:hanging="324"/>
        <w:spacing w:after="0" w:line="30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49" w:lineRule="exact"/>
        <w:rPr>
          <w:rFonts w:ascii="Arial" w:cs="Arial" w:eastAsia="Arial" w:hAnsi="Arial"/>
          <w:sz w:val="16"/>
          <w:szCs w:val="16"/>
          <w:color w:val="auto"/>
        </w:rPr>
      </w:pPr>
    </w:p>
    <w:p>
      <w:pPr>
        <w:ind w:left="98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active members, which is the number of Interval International network active members at the end of the applicable period.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(Losses) gains and other (expense) income, net</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ILG acquisition-related costs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 TAXES AND</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(LOSS) INCOME ATTRIBUTABLE TO COMMON</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0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Operating Statistics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 2020 vs. 2019</w:t>
            </w:r>
          </w:p>
        </w:tc>
        <w:tc>
          <w:tcPr>
            <w:tcW w:w="1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right"/>
              <w:ind w:right="190"/>
              <w:spacing w:after="0" w:line="158" w:lineRule="exact"/>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99"/>
              </w:rPr>
              <w:t>Legacy-ILG Impact</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Vacation Ownership</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Total contract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(900)</w:t>
            </w:r>
          </w:p>
        </w:tc>
        <w:tc>
          <w:tcPr>
            <w:tcW w:w="680" w:type="dxa"/>
            <w:vAlign w:val="bottom"/>
          </w:tcPr>
          <w:p>
            <w:pPr>
              <w:jc w:val="center"/>
              <w:ind w:right="130"/>
              <w:spacing w:after="0"/>
              <w:rPr>
                <w:sz w:val="20"/>
                <w:szCs w:val="20"/>
                <w:color w:val="auto"/>
              </w:rPr>
            </w:pPr>
            <w:r>
              <w:rPr>
                <w:rFonts w:ascii="Arial" w:cs="Arial" w:eastAsia="Arial" w:hAnsi="Arial"/>
                <w:sz w:val="18"/>
                <w:szCs w:val="18"/>
                <w:color w:val="auto"/>
                <w:w w:val="95"/>
              </w:rPr>
              <w:t>(57%)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233"/>
              <w:spacing w:after="0"/>
              <w:rPr>
                <w:sz w:val="20"/>
                <w:szCs w:val="20"/>
                <w:color w:val="auto"/>
              </w:rPr>
            </w:pPr>
            <w:r>
              <w:rPr>
                <w:rFonts w:ascii="Arial" w:cs="Arial" w:eastAsia="Arial" w:hAnsi="Arial"/>
                <w:sz w:val="18"/>
                <w:szCs w:val="18"/>
                <w:color w:val="auto"/>
                <w:w w:val="93"/>
              </w:rPr>
              <w:t>480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55"/>
              <w:spacing w:after="0"/>
              <w:rPr>
                <w:sz w:val="20"/>
                <w:szCs w:val="20"/>
                <w:color w:val="auto"/>
              </w:rPr>
            </w:pPr>
            <w:r>
              <w:rPr>
                <w:rFonts w:ascii="Arial" w:cs="Arial" w:eastAsia="Arial" w:hAnsi="Arial"/>
                <w:sz w:val="18"/>
                <w:szCs w:val="18"/>
                <w:color w:val="auto"/>
              </w:rPr>
              <w:t>50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contract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(870)</w:t>
            </w:r>
          </w:p>
        </w:tc>
        <w:tc>
          <w:tcPr>
            <w:tcW w:w="6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5"/>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3"/>
              </w:rPr>
              <w:t>451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Exchange &amp; Third-Party Management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Total active members at end of period</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73"/>
              <w:spacing w:after="0"/>
              <w:rPr>
                <w:sz w:val="20"/>
                <w:szCs w:val="20"/>
                <w:color w:val="auto"/>
              </w:rPr>
            </w:pPr>
            <w:r>
              <w:rPr>
                <w:rFonts w:ascii="Arial" w:cs="Arial" w:eastAsia="Arial" w:hAnsi="Arial"/>
                <w:sz w:val="18"/>
                <w:szCs w:val="18"/>
                <w:color w:val="auto"/>
              </w:rPr>
              <w:t>(152)</w:t>
            </w:r>
          </w:p>
        </w:tc>
        <w:tc>
          <w:tcPr>
            <w:tcW w:w="68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94"/>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213"/>
              <w:spacing w:after="0"/>
              <w:rPr>
                <w:sz w:val="20"/>
                <w:szCs w:val="20"/>
                <w:color w:val="auto"/>
              </w:rPr>
            </w:pPr>
            <w:r>
              <w:rPr>
                <w:rFonts w:ascii="Arial" w:cs="Arial" w:eastAsia="Arial" w:hAnsi="Arial"/>
                <w:sz w:val="18"/>
                <w:szCs w:val="18"/>
                <w:color w:val="auto"/>
                <w:w w:val="90"/>
              </w:rPr>
              <w:t>(132)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(000's)</w:t>
            </w: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(23.76)</w:t>
            </w:r>
          </w:p>
        </w:tc>
        <w:tc>
          <w:tcPr>
            <w:tcW w:w="680" w:type="dxa"/>
            <w:vAlign w:val="bottom"/>
          </w:tcPr>
          <w:p>
            <w:pPr>
              <w:jc w:val="center"/>
              <w:ind w:right="130"/>
              <w:spacing w:after="0"/>
              <w:rPr>
                <w:sz w:val="20"/>
                <w:szCs w:val="20"/>
                <w:color w:val="auto"/>
              </w:rPr>
            </w:pPr>
            <w:r>
              <w:rPr>
                <w:rFonts w:ascii="Arial" w:cs="Arial" w:eastAsia="Arial" w:hAnsi="Arial"/>
                <w:sz w:val="18"/>
                <w:szCs w:val="18"/>
                <w:color w:val="auto"/>
                <w:w w:val="95"/>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NM</w:t>
        <w:tab/>
        <w:t>Not meaningful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540" w:firstLine="648"/>
        <w:spacing w:after="0" w:line="274" w:lineRule="auto"/>
        <w:rPr>
          <w:sz w:val="20"/>
          <w:szCs w:val="20"/>
          <w:color w:val="auto"/>
        </w:rPr>
      </w:pPr>
      <w:r>
        <w:rPr>
          <w:rFonts w:ascii="Arial" w:cs="Arial" w:eastAsia="Arial" w:hAnsi="Arial"/>
          <w:sz w:val="18"/>
          <w:szCs w:val="18"/>
          <w:color w:val="auto"/>
        </w:rPr>
        <w:t>The following table presents our revenues for 2020, 2019, and 2018. The results for 2018 include Legacy-ILG for the months of September through December 2018, following the ILG Acquisition on September 1, 2018.</w:t>
      </w: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left="433"/>
              <w:spacing w:after="0"/>
              <w:rPr>
                <w:sz w:val="20"/>
                <w:szCs w:val="20"/>
                <w:color w:val="auto"/>
              </w:rPr>
            </w:pPr>
            <w:r>
              <w:rPr>
                <w:rFonts w:ascii="Arial" w:cs="Arial" w:eastAsia="Arial" w:hAnsi="Arial"/>
                <w:sz w:val="16"/>
                <w:szCs w:val="16"/>
                <w:b w:val="1"/>
                <w:bCs w:val="1"/>
                <w:color w:val="auto"/>
                <w:w w:val="88"/>
              </w:rPr>
              <w:t>Change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3"/>
                <w:szCs w:val="13"/>
                <w:color w:val="auto"/>
              </w:rPr>
            </w:pPr>
          </w:p>
        </w:tc>
        <w:tc>
          <w:tcPr>
            <w:tcW w:w="1680" w:type="dxa"/>
            <w:vAlign w:val="bottom"/>
            <w:gridSpan w:val="3"/>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1"/>
              </w:rPr>
              <w:t>(33%)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w w:val="91"/>
              </w:rPr>
              <w:t>(32%)</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right="15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3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1"/>
              </w:rPr>
              <w:t>(33%)</w:t>
            </w: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w w:val="93"/>
              </w:rPr>
              <w:t>Consolidated Property Owners' Associations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right="15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1"/>
              </w:rPr>
              <w:t>(32%)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ind w:right="6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income attributable to common shareholders, which is the most directly comparable GAAP financial measure.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6"/>
                <w:szCs w:val="16"/>
                <w:b w:val="1"/>
                <w:bCs w:val="1"/>
                <w:color w:val="auto"/>
                <w:w w:val="89"/>
              </w:rPr>
              <w:t>Change 2020 vs. 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w w:val="88"/>
              </w:rPr>
              <w:t>Change 2019 vs. 2018</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jc w:val="center"/>
              <w:ind w:right="5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3"/>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rPr>
              <w:t>Net (loss) income attributable to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2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2"/>
              </w:rPr>
              <w:t>(299%)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91"/>
              </w:rPr>
              <w:t>(88%)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1"/>
              </w:rPr>
              <w:t>149%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provision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(87%)</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center"/>
              <w:ind w:right="11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58%</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(523)</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EBITDA margin percentage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1"/>
              </w:rPr>
              <w:t>(11 pts)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 pts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 pts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Certain items for 2020 consisted of $100 million of impairment charges, $62 million of ILG acquisition-related costs, $57 million of other charges (including $50 million related to the net sales reserve adjustment, $2 million related to an accrual for the health and welfare costs for furloughed associates, $4 million related to the charge for VAT penalties and interest (see offset included in indemnification below) and $1 million of other miscellaneous charges), $26 million of losses and other expense, $25 million of restructuring costs, $4 million of purchase accounting adjustments, $6 million of litigation charges, and $4 million of transaction costs related to our asset light inventory arrangements.</w:t>
      </w:r>
    </w:p>
    <w:p>
      <w:pPr>
        <w:spacing w:after="0" w:line="6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$26 million of losses and other expense included $32 million related to a true-up to a Marriott International indemnification receivable upon settlement (the true-up to the offsetting accrual is included in the Benefit (provision) for income taxes line), $11 million related to foreign currency translation losses, and a $5 million loss related to the disposition of a formerly consolidated subsidiary, partially offset by $6 million of gains and other income related to the disposition of excess land parcels in Orlando, Florida and Steamboat Springs, Colorado, a $6 million receivable related to indemnification from Marriott International for certain VAT charges, $4 million related to net insurance proceeds from the final settlement of Legacy-MVW business interruption insurance claims arising from a prior year hurricane, $3 million related to other insurance proceeds, and $3 million of miscellaneous gains and other income.</w:t>
      </w:r>
    </w:p>
    <w:p>
      <w:pPr>
        <w:spacing w:after="0" w:line="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Certain items for 2019 consisted of $119 million of acquisition-related costs (including $118 million of ILG acquisition-related costs and $1 million of other acquisition costs), $99 million of asset impairment charges, $17 million of unfavorable purchase price adjustments, $7 million of litigation charges, and $1 million of other severance costs, partially offset by $16 million of miscellaneous gains and other income. The $16 million of miscellaneous gains and other income included $19 million of gains and other income related to the disposition of excess land parcels in Cancun, Mexico and Avon, Colorado, $9 million of gains and other income related to net insurance proceeds from the final settlement of Legacy-MVW business interruption insurance claims arising from prior year hurricanes, and $3 million of gains and other income resulting from the recovery of a portion of the fraudulently induced electronic payment disbursements made to third parties, partially offset by $15 million of integration related tax matters and other miscellaneous expenses.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Segment Adjusted EBITDA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020" w:type="dxa"/>
            <w:vAlign w:val="bottom"/>
            <w:gridSpan w:val="5"/>
          </w:tcPr>
          <w:p>
            <w:pPr>
              <w:ind w:left="540"/>
              <w:spacing w:after="0"/>
              <w:rPr>
                <w:sz w:val="20"/>
                <w:szCs w:val="20"/>
                <w:color w:val="auto"/>
              </w:rPr>
            </w:pPr>
            <w:r>
              <w:rPr>
                <w:rFonts w:ascii="Arial" w:cs="Arial" w:eastAsia="Arial" w:hAnsi="Arial"/>
                <w:sz w:val="16"/>
                <w:szCs w:val="16"/>
                <w:b w:val="1"/>
                <w:bCs w:val="1"/>
                <w:color w:val="auto"/>
                <w:w w:val="88"/>
              </w:rPr>
              <w:t>Change 2019 vs. 2018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left="432"/>
              <w:spacing w:after="0"/>
              <w:rPr>
                <w:sz w:val="20"/>
                <w:szCs w:val="20"/>
                <w:color w:val="auto"/>
              </w:rPr>
            </w:pPr>
            <w:r>
              <w:rPr>
                <w:rFonts w:ascii="Arial" w:cs="Arial" w:eastAsia="Arial" w:hAnsi="Arial"/>
                <w:sz w:val="16"/>
                <w:szCs w:val="16"/>
                <w:b w:val="1"/>
                <w:bCs w:val="1"/>
                <w:color w:val="auto"/>
                <w:w w:val="91"/>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center"/>
              <w:ind w:right="90"/>
              <w:spacing w:after="0" w:line="158" w:lineRule="exact"/>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1"/>
              </w:rPr>
              <w:t>(71%)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89"/>
              </w:rPr>
              <w:t>79</w:t>
            </w: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91"/>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1"/>
              </w:rPr>
              <w:t>(64%)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89"/>
              </w:rPr>
              <w:t>79</w:t>
            </w:r>
          </w:p>
        </w:tc>
        <w:tc>
          <w:tcPr>
            <w:tcW w:w="3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88"/>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left="252"/>
              <w:spacing w:after="0"/>
              <w:rPr>
                <w:sz w:val="20"/>
                <w:szCs w:val="20"/>
                <w:color w:val="auto"/>
              </w:rPr>
            </w:pPr>
            <w:r>
              <w:rPr>
                <w:rFonts w:ascii="Arial" w:cs="Arial" w:eastAsia="Arial" w:hAnsi="Arial"/>
                <w:sz w:val="18"/>
                <w:szCs w:val="18"/>
                <w:color w:val="auto"/>
                <w:w w:val="93"/>
              </w:rPr>
              <w:t>(11)</w:t>
            </w:r>
          </w:p>
        </w:tc>
        <w:tc>
          <w:tcPr>
            <w:tcW w:w="32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Consolidated Property Owners' Associations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9"/>
                <w:szCs w:val="19"/>
                <w:color w:val="auto"/>
              </w:rPr>
            </w:pP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91"/>
              </w:rPr>
              <w:t>(69%)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center"/>
              <w:ind w:left="292"/>
              <w:spacing w:after="0"/>
              <w:rPr>
                <w:sz w:val="20"/>
                <w:szCs w:val="20"/>
                <w:color w:val="auto"/>
              </w:rPr>
            </w:pPr>
            <w:r>
              <w:rPr>
                <w:rFonts w:ascii="Arial" w:cs="Arial" w:eastAsia="Arial" w:hAnsi="Arial"/>
                <w:sz w:val="18"/>
                <w:szCs w:val="18"/>
                <w:color w:val="auto"/>
                <w:w w:val="89"/>
              </w:rPr>
              <w:t>68</w:t>
            </w:r>
          </w:p>
        </w:tc>
        <w:tc>
          <w:tcPr>
            <w:tcW w:w="320" w:type="dxa"/>
            <w:vAlign w:val="bottom"/>
          </w:tcPr>
          <w:p>
            <w:pPr>
              <w:spacing w:after="0"/>
              <w:rPr>
                <w:sz w:val="19"/>
                <w:szCs w:val="19"/>
                <w:color w:val="auto"/>
              </w:rPr>
            </w:pPr>
          </w:p>
        </w:tc>
        <w:tc>
          <w:tcPr>
            <w:tcW w:w="680" w:type="dxa"/>
            <w:vAlign w:val="bottom"/>
          </w:tcPr>
          <w:p>
            <w:pPr>
              <w:jc w:val="center"/>
              <w:ind w:right="130"/>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Pr>
          <w:p>
            <w:pPr>
              <w:spacing w:after="0"/>
              <w:rPr>
                <w:sz w:val="18"/>
                <w:szCs w:val="18"/>
                <w:color w:val="auto"/>
              </w:rPr>
            </w:pPr>
          </w:p>
        </w:tc>
        <w:tc>
          <w:tcPr>
            <w:tcW w:w="2680" w:type="dxa"/>
            <w:vAlign w:val="bottom"/>
            <w:gridSpan w:val="5"/>
          </w:tcPr>
          <w:p>
            <w:pPr>
              <w:ind w:left="520"/>
              <w:spacing w:after="0"/>
              <w:rPr>
                <w:sz w:val="20"/>
                <w:szCs w:val="20"/>
                <w:color w:val="auto"/>
              </w:rPr>
            </w:pPr>
            <w:r>
              <w:rPr>
                <w:rFonts w:ascii="Arial" w:cs="Arial" w:eastAsia="Arial" w:hAnsi="Arial"/>
                <w:sz w:val="16"/>
                <w:szCs w:val="16"/>
                <w:b w:val="1"/>
                <w:bCs w:val="1"/>
                <w:color w:val="auto"/>
              </w:rPr>
              <w:t>Change 2019 vs. 2018</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center"/>
              <w:ind w:left="433"/>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5"/>
              </w:rPr>
              <w:t>(71%)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680" w:type="dxa"/>
            <w:vAlign w:val="bottom"/>
          </w:tcPr>
          <w:p>
            <w:pPr>
              <w:jc w:val="center"/>
              <w:ind w:right="130"/>
              <w:spacing w:after="0"/>
              <w:rPr>
                <w:sz w:val="20"/>
                <w:szCs w:val="20"/>
                <w:color w:val="auto"/>
              </w:rPr>
            </w:pPr>
            <w:r>
              <w:rPr>
                <w:rFonts w:ascii="Arial" w:cs="Arial" w:eastAsia="Arial" w:hAnsi="Arial"/>
                <w:sz w:val="18"/>
                <w:szCs w:val="18"/>
                <w:color w:val="auto"/>
                <w:w w:val="89"/>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4"/>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center"/>
              <w:ind w:right="130"/>
              <w:spacing w:after="0"/>
              <w:rPr>
                <w:sz w:val="20"/>
                <w:szCs w:val="20"/>
                <w:color w:val="auto"/>
              </w:rPr>
            </w:pPr>
            <w:r>
              <w:rPr>
                <w:rFonts w:ascii="Arial" w:cs="Arial" w:eastAsia="Arial" w:hAnsi="Arial"/>
                <w:sz w:val="18"/>
                <w:szCs w:val="18"/>
                <w:color w:val="auto"/>
                <w:w w:val="94"/>
              </w:rPr>
              <w:t>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9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89"/>
              </w:rPr>
              <w:t>(316%)</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5"/>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Certain items in the Vacation Ownership segment for 2020 consisted of $50 million related to the net sales reserve adjustment, $15 million of restructuring costs, $8 million of asset impairment charges, $6 million of litigation charges, $3 million of unfavorable purchase accounting adjustments, and $3 million of transaction costs associated with asset light inventory arrangements, partially offset by $12 million of gains and other income.</w:t>
      </w:r>
    </w:p>
    <w:p>
      <w:pPr>
        <w:spacing w:after="0" w:line="4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Certain items in the Vacation Ownership segment for 2019 consisted of $99 million of asset impairment charges, $17 million of unfavorable purchase accounting adjustments, $6 million of litigation charges, and $1 million of acquisition costs, partially offset by $28 million of gains and other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3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Fiscal Years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Change 2020 vs. 2019</w:t>
            </w:r>
          </w:p>
        </w:tc>
        <w:tc>
          <w:tcPr>
            <w:tcW w:w="180" w:type="dxa"/>
            <w:vAlign w:val="bottom"/>
          </w:tcPr>
          <w:p>
            <w:pPr>
              <w:spacing w:after="0"/>
              <w:rPr>
                <w:sz w:val="22"/>
                <w:szCs w:val="22"/>
                <w:color w:val="auto"/>
              </w:rPr>
            </w:pPr>
          </w:p>
        </w:tc>
        <w:tc>
          <w:tcPr>
            <w:tcW w:w="19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Change 2019 vs. 2018</w:t>
            </w: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138%</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2"/>
              </w:rPr>
              <w:t>(191%)</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(137%)</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14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1"/>
              </w:rPr>
              <w:t>(2215%)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129%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Certain items in the Exchange &amp; Third-Party Management segment for 2020 consisted of $92 million of asset impairment charges, $4 million of restructuring costs, $2 million of miscellaneous losses and other expense, and $1 million of unfavorable purchase accounting adjustments.</w:t>
      </w:r>
    </w:p>
    <w:p>
      <w:pPr>
        <w:spacing w:after="0" w:line="1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2019 consisted of $3 million of miscellaneous losses and other expense and $1 million of unfavorable purchase accounting adjustments.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5"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21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6"/>
                <w:szCs w:val="16"/>
                <w:b w:val="1"/>
                <w:bCs w:val="1"/>
                <w:color w:val="auto"/>
                <w:w w:val="87"/>
              </w:rPr>
              <w:t>Fiscal Years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1,354</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348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48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fee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348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ILG acquisition-related costs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5440" w:type="dxa"/>
            <w:vAlign w:val="bottom"/>
            <w:gridSpan w:val="7"/>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BEFORE NONCONTROLLING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loss attributable to noncontrolling interests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5540" w:type="dxa"/>
            <w:vAlign w:val="bottom"/>
            <w:gridSpan w:val="8"/>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74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3"/>
                <w:szCs w:val="13"/>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623</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Change 2020 vs. 2019</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vMerge w:val="restart"/>
          </w:tcPr>
          <w:p>
            <w:pPr>
              <w:jc w:val="center"/>
              <w:ind w:left="431"/>
              <w:spacing w:after="0"/>
              <w:rPr>
                <w:sz w:val="20"/>
                <w:szCs w:val="20"/>
                <w:color w:val="auto"/>
              </w:rPr>
            </w:pPr>
            <w:r>
              <w:rPr>
                <w:rFonts w:ascii="Arial" w:cs="Arial" w:eastAsia="Arial" w:hAnsi="Arial"/>
                <w:sz w:val="16"/>
                <w:szCs w:val="16"/>
                <w:b w:val="1"/>
                <w:bCs w:val="1"/>
                <w:color w:val="auto"/>
                <w:w w:val="91"/>
              </w:rPr>
              <w:t>Change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1"/>
              </w:rPr>
              <w:t>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right"/>
              <w:ind w:right="190"/>
              <w:spacing w:after="0" w:line="158" w:lineRule="exact"/>
              <w:rPr>
                <w:sz w:val="20"/>
                <w:szCs w:val="20"/>
                <w:color w:val="auto"/>
              </w:rPr>
            </w:pPr>
            <w:r>
              <w:rPr>
                <w:rFonts w:ascii="Arial" w:cs="Arial" w:eastAsia="Arial" w:hAnsi="Arial"/>
                <w:sz w:val="16"/>
                <w:szCs w:val="16"/>
                <w:b w:val="1"/>
                <w:bCs w:val="1"/>
                <w:color w:val="auto"/>
                <w:w w:val="95"/>
              </w:rPr>
              <w:t>Change Excluding</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7"/>
              </w:rPr>
              <w:t>Legacy-ILG Impact</w:t>
            </w:r>
          </w:p>
        </w:tc>
        <w:tc>
          <w:tcPr>
            <w:tcW w:w="0" w:type="dxa"/>
            <w:vAlign w:val="bottom"/>
          </w:tcPr>
          <w:p>
            <w:pPr>
              <w:spacing w:after="0"/>
              <w:rPr>
                <w:sz w:val="1"/>
                <w:szCs w:val="1"/>
                <w:color w:val="auto"/>
              </w:rPr>
            </w:pPr>
          </w:p>
        </w:tc>
      </w:tr>
      <w:tr>
        <w:trPr>
          <w:trHeight w:val="22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contract sales</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1,073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(57%)</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Joint venture contract sales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w w:val="91"/>
              </w:rPr>
              <w:t>(68%)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contract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(57%)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47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060" w:type="dxa"/>
            <w:vAlign w:val="bottom"/>
            <w:gridSpan w:val="5"/>
          </w:tcPr>
          <w:p>
            <w:pPr>
              <w:ind w:left="520"/>
              <w:spacing w:after="0"/>
              <w:rPr>
                <w:sz w:val="20"/>
                <w:szCs w:val="20"/>
                <w:color w:val="auto"/>
              </w:rPr>
            </w:pPr>
            <w:r>
              <w:rPr>
                <w:rFonts w:ascii="Arial" w:cs="Arial" w:eastAsia="Arial" w:hAnsi="Arial"/>
                <w:sz w:val="16"/>
                <w:szCs w:val="16"/>
                <w:b w:val="1"/>
                <w:bCs w:val="1"/>
                <w:color w:val="auto"/>
                <w:w w:val="91"/>
              </w:rPr>
              <w:t>Change 2019 vs. 2018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left="432"/>
              <w:spacing w:after="0"/>
              <w:rPr>
                <w:sz w:val="20"/>
                <w:szCs w:val="20"/>
                <w:color w:val="auto"/>
              </w:rPr>
            </w:pPr>
            <w:r>
              <w:rPr>
                <w:rFonts w:ascii="Arial" w:cs="Arial" w:eastAsia="Arial" w:hAnsi="Arial"/>
                <w:sz w:val="16"/>
                <w:szCs w:val="16"/>
                <w:b w:val="1"/>
                <w:bCs w:val="1"/>
                <w:color w:val="auto"/>
                <w:w w:val="91"/>
              </w:rPr>
              <w:t>Change</w:t>
            </w: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ind w:right="190"/>
              <w:spacing w:after="0" w:line="158" w:lineRule="exact"/>
              <w:rPr>
                <w:sz w:val="20"/>
                <w:szCs w:val="20"/>
                <w:color w:val="auto"/>
              </w:rPr>
            </w:pPr>
            <w:r>
              <w:rPr>
                <w:rFonts w:ascii="Arial" w:cs="Arial" w:eastAsia="Arial" w:hAnsi="Arial"/>
                <w:sz w:val="16"/>
                <w:szCs w:val="16"/>
                <w:b w:val="1"/>
                <w:bCs w:val="1"/>
                <w:color w:val="auto"/>
                <w:w w:val="97"/>
              </w:rPr>
              <w:t>Change Excluding</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9"/>
              </w:rPr>
              <w:t>Legacy-ILG Impact</w:t>
            </w:r>
          </w:p>
        </w:tc>
        <w:tc>
          <w:tcPr>
            <w:tcW w:w="0" w:type="dxa"/>
            <w:vAlign w:val="bottom"/>
          </w:tcPr>
          <w:p>
            <w:pPr>
              <w:spacing w:after="0"/>
              <w:rPr>
                <w:sz w:val="1"/>
                <w:szCs w:val="1"/>
                <w:color w:val="auto"/>
              </w:rPr>
            </w:pPr>
          </w:p>
        </w:tc>
      </w:tr>
      <w:tr>
        <w:trPr>
          <w:trHeight w:val="22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joint venture contract sales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Consolidated contract sales, net of resales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20"/>
              <w:spacing w:after="0"/>
              <w:rPr>
                <w:sz w:val="20"/>
                <w:szCs w:val="20"/>
                <w:color w:val="auto"/>
              </w:rPr>
            </w:pPr>
            <w:r>
              <w:rPr>
                <w:rFonts w:ascii="Arial" w:cs="Arial" w:eastAsia="Arial" w:hAnsi="Arial"/>
                <w:sz w:val="18"/>
                <w:szCs w:val="18"/>
                <w:color w:val="auto"/>
              </w:rPr>
              <w:t>Settlement revenue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Resales revenue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Reportability</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Sales reserve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1"/>
              </w:rPr>
              <w:t>(60%)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Sale of vacation ownership products decreased $808 million due primarily to $852 million of lower consolidated contract sales volumes, net of resales, and $17 million of higher sales reserve activity, partially offset by a $66 million favorable change in revenue reportability.</w:t>
      </w:r>
    </w:p>
    <w:p>
      <w:pPr>
        <w:spacing w:after="0" w:line="3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lower contract sales performance as well as the higher sales reserve activity were primarily due to the response to the COVID-19 pandemic. Contract sales and VPG as of March 13, 2020 were 10 percent and 11 percent higher, respectively, than the same period during the first quarter of 2019. However, during the second half of March 2020, as the virus continued to spread and we closed all of our sales centers, contract sales volumes declined significantly. We reopened eight sales centers in the second quarter and continued to reopen sales centers throughout the remainder of the year. At the end of 2020, over 80 percent of our sales centers were open, with the exception of sales centers in Kauai, Hawaii and in California that reopened but closed again in December 2020 due to government restrictions, as well as a handful of our smaller urban sales centers.</w:t>
      </w:r>
    </w:p>
    <w:p>
      <w:pPr>
        <w:spacing w:after="0" w:line="56"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The higher sales reserve recorded in 2020 reflected an estimate of higher estimated default activity related primarily to the impact of the COVID-19 pandemic, offset partially by the impact of lower contract sales in 2020. We will continue to evaluate our estimate of future default activity and compare it to actual default activity, and may adjust our sales reserve based on changes in actual default activity and other factors, as necessary.</w:t>
      </w:r>
    </w:p>
    <w:p>
      <w:pPr>
        <w:spacing w:after="0" w:line="4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Revenue reportability was significantly higher in 2020 as a result of contract sales late in the fourth quarter of 2019 that we recognized as revenue in 2020. However, this shift of revenues from sales in late 2019 to early 2020 was not fully offset by the shift of revenues from sales late in the fourth quarter of 2020 into 2021, given the lower sales volumes in December 2020 due to the impact of the COVID-19 pandemic.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Development Margin</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 of vacation ownership products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vacation ownership products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Marketing and sales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margin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margin percentage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040" w:type="dxa"/>
            <w:vAlign w:val="bottom"/>
            <w:gridSpan w:val="5"/>
          </w:tcPr>
          <w:p>
            <w:pPr>
              <w:ind w:left="52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jc w:val="center"/>
              <w:ind w:left="493"/>
              <w:spacing w:after="0"/>
              <w:rPr>
                <w:sz w:val="20"/>
                <w:szCs w:val="20"/>
                <w:color w:val="auto"/>
              </w:rPr>
            </w:pPr>
            <w:r>
              <w:rPr>
                <w:rFonts w:ascii="Arial" w:cs="Arial" w:eastAsia="Arial" w:hAnsi="Arial"/>
                <w:sz w:val="16"/>
                <w:szCs w:val="16"/>
                <w:b w:val="1"/>
                <w:bCs w:val="1"/>
                <w:color w:val="auto"/>
                <w:w w:val="91"/>
              </w:rPr>
              <w:t>Change</w:t>
            </w: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center"/>
              <w:ind w:right="9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5"/>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center"/>
              <w:ind w:left="212"/>
              <w:spacing w:after="0"/>
              <w:rPr>
                <w:sz w:val="20"/>
                <w:szCs w:val="20"/>
                <w:color w:val="auto"/>
              </w:rPr>
            </w:pPr>
            <w:r>
              <w:rPr>
                <w:rFonts w:ascii="Arial" w:cs="Arial" w:eastAsia="Arial" w:hAnsi="Arial"/>
                <w:sz w:val="18"/>
                <w:szCs w:val="18"/>
                <w:color w:val="auto"/>
                <w:w w:val="93"/>
              </w:rPr>
              <w:t>990</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color w:val="auto"/>
                <w:w w:val="95"/>
              </w:rPr>
              <w:t>(808)</w:t>
            </w: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1"/>
              </w:rPr>
              <w:t>(60%)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172"/>
              <w:spacing w:after="0"/>
              <w:rPr>
                <w:sz w:val="20"/>
                <w:szCs w:val="20"/>
                <w:color w:val="auto"/>
              </w:rPr>
            </w:pPr>
            <w:r>
              <w:rPr>
                <w:rFonts w:ascii="Arial" w:cs="Arial" w:eastAsia="Arial" w:hAnsi="Arial"/>
                <w:sz w:val="18"/>
                <w:szCs w:val="18"/>
                <w:color w:val="auto"/>
                <w:w w:val="95"/>
              </w:rPr>
              <w:t>(260)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293"/>
              <w:spacing w:after="0"/>
              <w:rPr>
                <w:sz w:val="20"/>
                <w:szCs w:val="20"/>
                <w:color w:val="auto"/>
              </w:rPr>
            </w:pPr>
            <w:r>
              <w:rPr>
                <w:rFonts w:ascii="Arial" w:cs="Arial" w:eastAsia="Arial" w:hAnsi="Arial"/>
                <w:sz w:val="18"/>
                <w:szCs w:val="18"/>
                <w:color w:val="auto"/>
                <w:w w:val="86"/>
              </w:rPr>
              <w:t>199</w:t>
            </w:r>
          </w:p>
        </w:tc>
        <w:tc>
          <w:tcPr>
            <w:tcW w:w="320" w:type="dxa"/>
            <w:vAlign w:val="bottom"/>
          </w:tcPr>
          <w:p>
            <w:pPr>
              <w:spacing w:after="0"/>
              <w:rPr>
                <w:sz w:val="19"/>
                <w:szCs w:val="19"/>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640" w:type="dxa"/>
            <w:vAlign w:val="bottom"/>
          </w:tcPr>
          <w:p>
            <w:pPr>
              <w:jc w:val="center"/>
              <w:ind w:right="1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5"/>
              </w:rPr>
              <w:t>(513)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86"/>
              </w:rPr>
              <w:t>309</w:t>
            </w:r>
          </w:p>
        </w:tc>
        <w:tc>
          <w:tcPr>
            <w:tcW w:w="32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640" w:type="dxa"/>
            <w:vAlign w:val="bottom"/>
          </w:tcPr>
          <w:p>
            <w:pPr>
              <w:jc w:val="center"/>
              <w:ind w:right="15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3"/>
              </w:rPr>
              <w:t>217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5"/>
              </w:rPr>
              <w:t>(300)</w:t>
            </w:r>
          </w:p>
        </w:tc>
        <w:tc>
          <w:tcPr>
            <w:tcW w:w="32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1"/>
              </w:rPr>
              <w:t>(97%)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w w:val="97"/>
              </w:rPr>
              <w:t>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w w:val="93"/>
              </w:rPr>
              <w:t>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(21.1 pts)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6"/>
              </w:rPr>
              <w:t>1.0 pts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-779780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-480060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-162560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2760" w:space="720"/>
            <w:col w:w="7760"/>
          </w:cols>
          <w:pgMar w:left="320" w:top="1107" w:right="339" w:bottom="1440" w:gutter="0" w:footer="0" w:header="0"/>
        </w:sectPr>
      </w:pPr>
    </w:p>
    <w:p>
      <w:pPr>
        <w:ind w:right="120" w:firstLine="648"/>
        <w:spacing w:after="0" w:line="257" w:lineRule="auto"/>
        <w:rPr>
          <w:sz w:val="20"/>
          <w:szCs w:val="20"/>
          <w:color w:val="auto"/>
        </w:rPr>
      </w:pPr>
      <w:r>
        <w:rPr>
          <w:rFonts w:ascii="Arial" w:cs="Arial" w:eastAsia="Arial" w:hAnsi="Arial"/>
          <w:sz w:val="18"/>
          <w:szCs w:val="18"/>
          <w:color w:val="auto"/>
        </w:rPr>
        <w:t>Development margin decreased $300 million or 97 percent. The decrease in development margin reflected $174 million of lower vacation ownership contract sales volume, net of the sales reserve and direct variable expenses (i.e., cost of vacation ownership products and marketing and sales), $107 million related to less efficient marketing and sales spend, and $80 million related to the net impact of the higher sales reserve. These declines were partially offset by $45 million of favorable revenue reportability compared to 2019 and $16 million of lower product cost activity mainly from a favorable mix of lower cost inventory being sold.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ind w:left="40"/>
              <w:spacing w:after="0"/>
              <w:rPr>
                <w:sz w:val="20"/>
                <w:szCs w:val="20"/>
                <w:color w:val="auto"/>
              </w:rPr>
            </w:pPr>
            <w:r>
              <w:rPr>
                <w:rFonts w:ascii="Arial" w:cs="Arial" w:eastAsia="Arial" w:hAnsi="Arial"/>
                <w:sz w:val="16"/>
                <w:szCs w:val="16"/>
                <w:b w:val="1"/>
                <w:bCs w:val="1"/>
                <w:color w:val="auto"/>
              </w:rPr>
              <w:t>Change 2020 vs. 2019</w:t>
            </w:r>
          </w:p>
        </w:tc>
        <w:tc>
          <w:tcPr>
            <w:tcW w:w="140" w:type="dxa"/>
            <w:vAlign w:val="bottom"/>
          </w:tcPr>
          <w:p>
            <w:pPr>
              <w:spacing w:after="0"/>
              <w:rPr>
                <w:sz w:val="18"/>
                <w:szCs w:val="18"/>
                <w:color w:val="auto"/>
              </w:rPr>
            </w:pPr>
          </w:p>
        </w:tc>
        <w:tc>
          <w:tcPr>
            <w:tcW w:w="2040" w:type="dxa"/>
            <w:vAlign w:val="bottom"/>
            <w:gridSpan w:val="5"/>
          </w:tcPr>
          <w:p>
            <w:pPr>
              <w:ind w:left="52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6"/>
                <w:szCs w:val="16"/>
                <w:b w:val="1"/>
                <w:bCs w:val="1"/>
                <w:color w:val="auto"/>
                <w:w w:val="88"/>
              </w:rPr>
              <w:t>Change</w:t>
            </w: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ind w:right="190"/>
              <w:spacing w:after="0" w:line="158" w:lineRule="exact"/>
              <w:rPr>
                <w:sz w:val="20"/>
                <w:szCs w:val="20"/>
                <w:color w:val="auto"/>
              </w:rPr>
            </w:pPr>
            <w:r>
              <w:rPr>
                <w:rFonts w:ascii="Arial" w:cs="Arial" w:eastAsia="Arial" w:hAnsi="Arial"/>
                <w:sz w:val="16"/>
                <w:szCs w:val="16"/>
                <w:b w:val="1"/>
                <w:bCs w:val="1"/>
                <w:color w:val="auto"/>
                <w:w w:val="97"/>
              </w:rPr>
              <w:t>Change Excluding</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9"/>
              </w:rPr>
              <w:t>Legacy-ILG Impact</w:t>
            </w:r>
          </w:p>
        </w:tc>
        <w:tc>
          <w:tcPr>
            <w:tcW w:w="0" w:type="dxa"/>
            <w:vAlign w:val="bottom"/>
          </w:tcPr>
          <w:p>
            <w:pPr>
              <w:spacing w:after="0"/>
              <w:rPr>
                <w:sz w:val="1"/>
                <w:szCs w:val="1"/>
                <w:color w:val="auto"/>
              </w:rPr>
            </w:pPr>
          </w:p>
        </w:tc>
      </w:tr>
      <w:tr>
        <w:trPr>
          <w:trHeight w:val="22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86"/>
              </w:rPr>
              <w:t>144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left="211"/>
              <w:spacing w:after="0"/>
              <w:rPr>
                <w:sz w:val="20"/>
                <w:szCs w:val="20"/>
                <w:color w:val="auto"/>
              </w:rPr>
            </w:pPr>
            <w:r>
              <w:rPr>
                <w:rFonts w:ascii="Arial" w:cs="Arial" w:eastAsia="Arial" w:hAnsi="Arial"/>
                <w:sz w:val="18"/>
                <w:szCs w:val="18"/>
                <w:color w:val="auto"/>
                <w:w w:val="86"/>
              </w:rPr>
              <w:t>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1"/>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management and exchange revenue</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86"/>
              </w:rPr>
              <w:t>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4"/>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5"/>
        </w:trPr>
        <w:tc>
          <w:tcPr>
            <w:tcW w:w="3480" w:type="dxa"/>
            <w:vAlign w:val="bottom"/>
          </w:tcPr>
          <w:p>
            <w:pPr>
              <w:ind w:left="20"/>
              <w:spacing w:after="0" w:line="156" w:lineRule="exact"/>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3"/>
                <w:szCs w:val="13"/>
                <w:color w:val="auto"/>
              </w:rPr>
            </w:pPr>
          </w:p>
        </w:tc>
        <w:tc>
          <w:tcPr>
            <w:tcW w:w="70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3"/>
                <w:szCs w:val="13"/>
                <w:color w:val="auto"/>
              </w:rPr>
            </w:pPr>
          </w:p>
        </w:tc>
        <w:tc>
          <w:tcPr>
            <w:tcW w:w="64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171"/>
              <w:spacing w:after="0"/>
              <w:rPr>
                <w:sz w:val="20"/>
                <w:szCs w:val="20"/>
                <w:color w:val="auto"/>
              </w:rPr>
            </w:pPr>
            <w:r>
              <w:rPr>
                <w:rFonts w:ascii="Arial" w:cs="Arial" w:eastAsia="Arial" w:hAnsi="Arial"/>
                <w:sz w:val="18"/>
                <w:szCs w:val="18"/>
                <w:color w:val="auto"/>
                <w:w w:val="90"/>
              </w:rPr>
              <w:t>(229)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88"/>
              </w:rPr>
              <w:t>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w w:val="91"/>
              </w:rPr>
              <w:t>Resort management and other services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86"/>
              </w:rPr>
              <w:t>259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Resort management and other services margin</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3"/>
              </w:rPr>
              <w:t>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7"/>
              </w:rPr>
              <w:t>53.0%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3"/>
              </w:rPr>
              <w:t>47.1%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8.8 pts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88"/>
              </w:rPr>
              <w:t>5.9 pts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w:t>
            </w: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Resort management and other services revenues reflected lower ancillary revenues, including revenues from food and beverage and golf offerings, as a result of significant resort and ancillary outlet closings due to the COVID-19 pandemic, partially offset by 4 percent higher management fees resulting from the cumulative increase in the number of vacation ownership products sold and higher operating costs across the system.</w:t>
      </w:r>
    </w:p>
    <w:p>
      <w:pPr>
        <w:spacing w:after="0" w:line="4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decrease in resort management and other services margin reflected the decrease in resort management and other services revenues, partially offset by lower ancillary expenses as a result of the lower ancillary revenues mentioned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7"/>
              </w:rPr>
              <w:t>Fiscal Years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6"/>
                <w:szCs w:val="16"/>
                <w:b w:val="1"/>
                <w:bCs w:val="1"/>
                <w:color w:val="auto"/>
                <w:w w:val="90"/>
              </w:rPr>
              <w:t>Change 2020 vs. 2019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left="453"/>
              <w:spacing w:after="0"/>
              <w:rPr>
                <w:sz w:val="20"/>
                <w:szCs w:val="20"/>
                <w:color w:val="auto"/>
              </w:rPr>
            </w:pPr>
            <w:r>
              <w:rPr>
                <w:rFonts w:ascii="Arial" w:cs="Arial" w:eastAsia="Arial" w:hAnsi="Arial"/>
                <w:sz w:val="16"/>
                <w:szCs w:val="16"/>
                <w:b w:val="1"/>
                <w:bCs w:val="1"/>
                <w:color w:val="auto"/>
                <w:w w:val="89"/>
              </w:rPr>
              <w:t>Change 2019 vs. 2018</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Change</w:t>
            </w:r>
          </w:p>
        </w:tc>
        <w:tc>
          <w:tcPr>
            <w:tcW w:w="1940" w:type="dxa"/>
            <w:vAlign w:val="bottom"/>
            <w:gridSpan w:val="4"/>
          </w:tcPr>
          <w:p>
            <w:pPr>
              <w:ind w:left="40"/>
              <w:spacing w:after="0" w:line="158" w:lineRule="exact"/>
              <w:rPr>
                <w:sz w:val="20"/>
                <w:szCs w:val="20"/>
                <w:color w:val="auto"/>
              </w:rPr>
            </w:pPr>
            <w:r>
              <w:rPr>
                <w:rFonts w:ascii="Arial" w:cs="Arial" w:eastAsia="Arial" w:hAnsi="Arial"/>
                <w:sz w:val="16"/>
                <w:szCs w:val="16"/>
                <w:b w:val="1"/>
                <w:bCs w:val="1"/>
                <w:color w:val="auto"/>
                <w:w w:val="91"/>
              </w:rPr>
              <w:t>Change Excluding Legacy-</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ind w:left="400"/>
              <w:spacing w:after="0"/>
              <w:rPr>
                <w:sz w:val="20"/>
                <w:szCs w:val="20"/>
                <w:color w:val="auto"/>
              </w:rPr>
            </w:pPr>
            <w:r>
              <w:rPr>
                <w:rFonts w:ascii="Arial" w:cs="Arial" w:eastAsia="Arial" w:hAnsi="Arial"/>
                <w:sz w:val="16"/>
                <w:szCs w:val="16"/>
                <w:b w:val="1"/>
                <w:bCs w:val="1"/>
                <w:color w:val="auto"/>
              </w:rPr>
              <w:t>ILG Impact</w:t>
            </w:r>
          </w:p>
        </w:tc>
        <w:tc>
          <w:tcPr>
            <w:tcW w:w="0" w:type="dxa"/>
            <w:vAlign w:val="bottom"/>
          </w:tcPr>
          <w:p>
            <w:pPr>
              <w:spacing w:after="0"/>
              <w:rPr>
                <w:sz w:val="1"/>
                <w:szCs w:val="1"/>
                <w:color w:val="auto"/>
              </w:rPr>
            </w:pPr>
          </w:p>
        </w:tc>
      </w:tr>
      <w:tr>
        <w:trPr>
          <w:trHeight w:val="22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4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160"/>
              <w:spacing w:after="0" w:line="204" w:lineRule="exact"/>
              <w:rPr>
                <w:sz w:val="20"/>
                <w:szCs w:val="20"/>
                <w:color w:val="auto"/>
              </w:rPr>
            </w:pPr>
            <w:r>
              <w:rPr>
                <w:rFonts w:ascii="Arial" w:cs="Arial" w:eastAsia="Arial" w:hAnsi="Arial"/>
                <w:sz w:val="18"/>
                <w:szCs w:val="18"/>
                <w:color w:val="auto"/>
              </w:rPr>
              <w:t>NM</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72"/>
              <w:spacing w:after="0" w:line="204" w:lineRule="exact"/>
              <w:rPr>
                <w:sz w:val="20"/>
                <w:szCs w:val="20"/>
                <w:color w:val="auto"/>
              </w:rPr>
            </w:pPr>
            <w:r>
              <w:rPr>
                <w:rFonts w:ascii="Arial" w:cs="Arial" w:eastAsia="Arial" w:hAnsi="Arial"/>
                <w:sz w:val="18"/>
                <w:szCs w:val="18"/>
                <w:color w:val="auto"/>
                <w:w w:val="90"/>
              </w:rPr>
              <w:t>23.7%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72"/>
              <w:spacing w:after="0" w:line="204" w:lineRule="exact"/>
              <w:rPr>
                <w:sz w:val="20"/>
                <w:szCs w:val="20"/>
                <w:color w:val="auto"/>
              </w:rPr>
            </w:pPr>
            <w:r>
              <w:rPr>
                <w:rFonts w:ascii="Arial" w:cs="Arial" w:eastAsia="Arial" w:hAnsi="Arial"/>
                <w:sz w:val="18"/>
                <w:szCs w:val="18"/>
                <w:color w:val="auto"/>
                <w:w w:val="90"/>
              </w:rPr>
              <w:t>21.5%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13"/>
              <w:spacing w:after="0" w:line="204" w:lineRule="exact"/>
              <w:rPr>
                <w:sz w:val="20"/>
                <w:szCs w:val="20"/>
                <w:color w:val="auto"/>
              </w:rPr>
            </w:pPr>
            <w:r>
              <w:rPr>
                <w:rFonts w:ascii="Arial" w:cs="Arial" w:eastAsia="Arial" w:hAnsi="Arial"/>
                <w:sz w:val="18"/>
                <w:szCs w:val="18"/>
                <w:color w:val="auto"/>
              </w:rPr>
              <w:t>NM</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3"/>
              <w:spacing w:after="0" w:line="204" w:lineRule="exact"/>
              <w:rPr>
                <w:sz w:val="20"/>
                <w:szCs w:val="20"/>
                <w:color w:val="auto"/>
              </w:rPr>
            </w:pPr>
            <w:r>
              <w:rPr>
                <w:rFonts w:ascii="Arial" w:cs="Arial" w:eastAsia="Arial" w:hAnsi="Arial"/>
                <w:sz w:val="18"/>
                <w:szCs w:val="18"/>
                <w:color w:val="auto"/>
                <w:w w:val="88"/>
              </w:rPr>
              <w:t>2.2 pts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6"/>
                <w:szCs w:val="16"/>
                <w:b w:val="1"/>
                <w:bCs w:val="1"/>
                <w:color w:val="auto"/>
                <w:w w:val="89"/>
              </w:rPr>
              <w:t>Change 2020 vs. 2019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left="453"/>
              <w:spacing w:after="0"/>
              <w:rPr>
                <w:sz w:val="20"/>
                <w:szCs w:val="20"/>
                <w:color w:val="auto"/>
              </w:rPr>
            </w:pPr>
            <w:r>
              <w:rPr>
                <w:rFonts w:ascii="Arial" w:cs="Arial" w:eastAsia="Arial" w:hAnsi="Arial"/>
                <w:sz w:val="16"/>
                <w:szCs w:val="16"/>
                <w:b w:val="1"/>
                <w:bCs w:val="1"/>
                <w:color w:val="auto"/>
                <w:w w:val="89"/>
              </w:rPr>
              <w:t>Change 2019 vs. 2018</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Change</w:t>
            </w:r>
          </w:p>
        </w:tc>
        <w:tc>
          <w:tcPr>
            <w:tcW w:w="1940" w:type="dxa"/>
            <w:vAlign w:val="bottom"/>
            <w:gridSpan w:val="4"/>
          </w:tcPr>
          <w:p>
            <w:pPr>
              <w:ind w:left="40"/>
              <w:spacing w:after="0" w:line="158" w:lineRule="exact"/>
              <w:rPr>
                <w:sz w:val="20"/>
                <w:szCs w:val="20"/>
                <w:color w:val="auto"/>
              </w:rPr>
            </w:pPr>
            <w:r>
              <w:rPr>
                <w:rFonts w:ascii="Arial" w:cs="Arial" w:eastAsia="Arial" w:hAnsi="Arial"/>
                <w:sz w:val="16"/>
                <w:szCs w:val="16"/>
                <w:b w:val="1"/>
                <w:bCs w:val="1"/>
                <w:color w:val="auto"/>
                <w:w w:val="91"/>
              </w:rPr>
              <w:t>Change Excluding Legacy-</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(transient keys 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ind w:left="400"/>
              <w:spacing w:after="0"/>
              <w:rPr>
                <w:sz w:val="20"/>
                <w:szCs w:val="20"/>
                <w:color w:val="auto"/>
              </w:rPr>
            </w:pPr>
            <w:r>
              <w:rPr>
                <w:rFonts w:ascii="Arial" w:cs="Arial" w:eastAsia="Arial" w:hAnsi="Arial"/>
                <w:sz w:val="16"/>
                <w:szCs w:val="16"/>
                <w:b w:val="1"/>
                <w:bCs w:val="1"/>
                <w:color w:val="auto"/>
              </w:rPr>
              <w:t>ILG Impact</w:t>
            </w:r>
          </w:p>
        </w:tc>
        <w:tc>
          <w:tcPr>
            <w:tcW w:w="0" w:type="dxa"/>
            <w:vAlign w:val="bottom"/>
          </w:tcPr>
          <w:p>
            <w:pPr>
              <w:spacing w:after="0"/>
              <w:rPr>
                <w:sz w:val="1"/>
                <w:szCs w:val="1"/>
                <w:color w:val="auto"/>
              </w:rPr>
            </w:pPr>
          </w:p>
        </w:tc>
      </w:tr>
      <w:tr>
        <w:trPr>
          <w:trHeight w:val="22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9"/>
                <w:szCs w:val="9"/>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(8.56)</w:t>
            </w:r>
          </w:p>
        </w:tc>
        <w:tc>
          <w:tcPr>
            <w:tcW w:w="1040" w:type="dxa"/>
            <w:vAlign w:val="bottom"/>
          </w:tcPr>
          <w:p>
            <w:pPr>
              <w:jc w:val="center"/>
              <w:ind w:left="30"/>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9"/>
                <w:szCs w:val="19"/>
                <w:color w:val="auto"/>
              </w:rPr>
            </w:pPr>
          </w:p>
        </w:tc>
        <w:tc>
          <w:tcPr>
            <w:tcW w:w="680" w:type="dxa"/>
            <w:vAlign w:val="bottom"/>
          </w:tcPr>
          <w:p>
            <w:pPr>
              <w:jc w:val="center"/>
              <w:ind w:right="1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88.5%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 pts)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(0.4 pts)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0.9 pts</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3800" w:hanging="652"/>
        <w:spacing w:after="0" w:line="329"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 xml:space="preserve">Transient keys rented exclude those obtained through the use of plus points and preview stays. </w:t>
      </w:r>
      <w:r>
        <w:rPr>
          <w:rFonts w:ascii="Arial" w:cs="Arial" w:eastAsia="Arial" w:hAnsi="Arial"/>
          <w:sz w:val="18"/>
          <w:szCs w:val="18"/>
          <w:i w:val="1"/>
          <w:iCs w:val="1"/>
          <w:color w:val="auto"/>
        </w:rPr>
        <w:t>2020 Compared to 2019</w:t>
      </w:r>
    </w:p>
    <w:p>
      <w:pPr>
        <w:spacing w:after="0" w:line="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decline in rental margin resulted from a decline in keys rented and transient rate due to the COVID-19 pandemic. Rental margin as of the end of February 2020 was nearly $4 million higher than the comparable period of 2019. In response to quickly evolving travel restrictions and restrictions on business operations, beginning March 25, 2020, we closed our resorts for rental guests with stays at our branded North America vacation ownership resorts. In late May, as many government restrictions were beginning to be relaxed, we began reopening resorts to rental guests. Since the end of the second quarter and through the end of the year, we reopened more resorts to rental guests and expect rental revenues to continue to increase from current levels. At the end of 2020, over 95% of our resorts were open for rental stays.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Fiscal Years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Pr>
          <w:p>
            <w:pPr>
              <w:spacing w:after="0"/>
              <w:rPr>
                <w:sz w:val="18"/>
                <w:szCs w:val="18"/>
                <w:color w:val="auto"/>
              </w:rPr>
            </w:pPr>
          </w:p>
        </w:tc>
        <w:tc>
          <w:tcPr>
            <w:tcW w:w="2040" w:type="dxa"/>
            <w:vAlign w:val="bottom"/>
            <w:gridSpan w:val="5"/>
          </w:tcPr>
          <w:p>
            <w:pPr>
              <w:ind w:left="540"/>
              <w:spacing w:after="0"/>
              <w:rPr>
                <w:sz w:val="20"/>
                <w:szCs w:val="20"/>
                <w:color w:val="auto"/>
              </w:rPr>
            </w:pPr>
            <w:r>
              <w:rPr>
                <w:rFonts w:ascii="Arial" w:cs="Arial" w:eastAsia="Arial" w:hAnsi="Arial"/>
                <w:sz w:val="16"/>
                <w:szCs w:val="16"/>
                <w:b w:val="1"/>
                <w:bCs w:val="1"/>
                <w:color w:val="auto"/>
                <w:w w:val="89"/>
              </w:rPr>
              <w:t>Change 2019 vs. 2018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center"/>
              <w:ind w:right="5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center"/>
              <w:ind w:right="51"/>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center"/>
              <w:ind w:right="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center"/>
              <w:ind w:left="452"/>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center"/>
              <w:ind w:right="5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4"/>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352"/>
              <w:spacing w:after="0"/>
              <w:rPr>
                <w:sz w:val="20"/>
                <w:szCs w:val="20"/>
                <w:color w:val="auto"/>
              </w:rPr>
            </w:pPr>
            <w:r>
              <w:rPr>
                <w:rFonts w:ascii="Arial" w:cs="Arial" w:eastAsia="Arial" w:hAnsi="Arial"/>
                <w:sz w:val="18"/>
                <w:szCs w:val="18"/>
                <w:color w:val="auto"/>
                <w:w w:val="89"/>
              </w:rPr>
              <w:t>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160" w:type="dxa"/>
            <w:vAlign w:val="bottom"/>
          </w:tcPr>
          <w:p>
            <w:pPr>
              <w:spacing w:after="0"/>
              <w:rPr>
                <w:sz w:val="19"/>
                <w:szCs w:val="19"/>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93"/>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680" w:type="dxa"/>
            <w:vAlign w:val="bottom"/>
          </w:tcPr>
          <w:p>
            <w:pPr>
              <w:jc w:val="center"/>
              <w:ind w:right="150"/>
              <w:spacing w:after="0"/>
              <w:rPr>
                <w:sz w:val="20"/>
                <w:szCs w:val="20"/>
                <w:color w:val="auto"/>
              </w:rPr>
            </w:pPr>
            <w:r>
              <w:rPr>
                <w:rFonts w:ascii="Arial" w:cs="Arial" w:eastAsia="Arial" w:hAnsi="Arial"/>
                <w:sz w:val="18"/>
                <w:szCs w:val="18"/>
                <w:color w:val="auto"/>
                <w:w w:val="91"/>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312"/>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financing 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3"/>
              </w:rPr>
              <w:t>(58)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3"/>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4"/>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93"/>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(7)</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Financing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680" w:type="dxa"/>
            <w:vAlign w:val="bottom"/>
          </w:tcPr>
          <w:p>
            <w:pPr>
              <w:jc w:val="center"/>
              <w:ind w:right="150"/>
              <w:spacing w:after="0"/>
              <w:rPr>
                <w:sz w:val="20"/>
                <w:szCs w:val="20"/>
                <w:color w:val="auto"/>
              </w:rPr>
            </w:pPr>
            <w:r>
              <w:rPr>
                <w:rFonts w:ascii="Arial" w:cs="Arial" w:eastAsia="Arial" w:hAnsi="Arial"/>
                <w:sz w:val="18"/>
                <w:szCs w:val="18"/>
                <w:color w:val="auto"/>
                <w:w w:val="91"/>
              </w:rPr>
              <w:t>(13%)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margin percentage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0"/>
              </w:rPr>
              <w:t>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0"/>
              </w:rPr>
              <w:t>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3"/>
              </w:rPr>
              <w:t>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0"/>
              </w:rPr>
              <w:t>(7.5 pts)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2.7 pts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 pts</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Financing propensity</w:t>
            </w:r>
          </w:p>
        </w:tc>
        <w:tc>
          <w:tcPr>
            <w:tcW w:w="160" w:type="dxa"/>
            <w:vAlign w:val="bottom"/>
          </w:tcPr>
          <w:p>
            <w:pPr>
              <w:spacing w:after="0"/>
              <w:rPr>
                <w:sz w:val="20"/>
                <w:szCs w:val="20"/>
                <w:color w:val="auto"/>
              </w:rPr>
            </w:pPr>
          </w:p>
        </w:tc>
        <w:tc>
          <w:tcPr>
            <w:tcW w:w="700" w:type="dxa"/>
            <w:vAlign w:val="bottom"/>
          </w:tcPr>
          <w:p>
            <w:pPr>
              <w:jc w:val="center"/>
              <w:ind w:right="51"/>
              <w:spacing w:after="0"/>
              <w:rPr>
                <w:sz w:val="20"/>
                <w:szCs w:val="20"/>
                <w:color w:val="auto"/>
              </w:rPr>
            </w:pPr>
            <w:r>
              <w:rPr>
                <w:rFonts w:ascii="Arial" w:cs="Arial" w:eastAsia="Arial" w:hAnsi="Arial"/>
                <w:sz w:val="18"/>
                <w:szCs w:val="18"/>
                <w:color w:val="auto"/>
                <w:w w:val="88"/>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1"/>
              <w:spacing w:after="0"/>
              <w:rPr>
                <w:sz w:val="20"/>
                <w:szCs w:val="20"/>
                <w:color w:val="auto"/>
              </w:rPr>
            </w:pPr>
            <w:r>
              <w:rPr>
                <w:rFonts w:ascii="Arial" w:cs="Arial" w:eastAsia="Arial" w:hAnsi="Arial"/>
                <w:sz w:val="18"/>
                <w:szCs w:val="18"/>
                <w:color w:val="auto"/>
                <w:w w:val="94"/>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8"/>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(12 pts)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1 pts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Financing revenues decreased due to higher plus point finance incentive costs related to financing incentive programs we offered prior to the COVID-19 pandemic, as well as a decrease in the average gross vacation ownership notes receivable balance. The higher financing expenses included $14 million related to the higher reserve on the acquired vacation ownership notes receivable balance due primarily to higher estimated defaults as a result of the COVID-19 pandemic and $5 million related to higher technology related costs year over year, partially offset by lower salaries and wages associated with the furlough and reduced work week programs in the current year. Higher consumer financing interest expense resulted from higher overall securitized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debt balances, partially offset by lower average borrowing rates</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center"/>
              <w:ind w:left="396"/>
              <w:spacing w:after="0"/>
              <w:rPr>
                <w:sz w:val="20"/>
                <w:szCs w:val="20"/>
                <w:color w:val="auto"/>
              </w:rPr>
            </w:pPr>
            <w:r>
              <w:rPr>
                <w:rFonts w:ascii="Arial" w:cs="Arial" w:eastAsia="Arial" w:hAnsi="Arial"/>
                <w:sz w:val="16"/>
                <w:szCs w:val="16"/>
                <w:b w:val="1"/>
                <w:bCs w:val="1"/>
                <w:color w:val="auto"/>
                <w:w w:val="88"/>
              </w:rPr>
              <w:t>Change</w:t>
            </w: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3</w:t>
            </w:r>
          </w:p>
        </w:tc>
        <w:tc>
          <w:tcPr>
            <w:tcW w:w="6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1</w:t>
            </w:r>
          </w:p>
        </w:tc>
        <w:tc>
          <w:tcPr>
            <w:tcW w:w="6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37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Litigation Charges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center"/>
              <w:ind w:left="376"/>
              <w:spacing w:after="0"/>
              <w:rPr>
                <w:sz w:val="20"/>
                <w:szCs w:val="20"/>
                <w:color w:val="auto"/>
              </w:rPr>
            </w:pPr>
            <w:r>
              <w:rPr>
                <w:rFonts w:ascii="Arial" w:cs="Arial" w:eastAsia="Arial" w:hAnsi="Arial"/>
                <w:sz w:val="16"/>
                <w:szCs w:val="16"/>
                <w:b w:val="1"/>
                <w:bCs w:val="1"/>
                <w:color w:val="auto"/>
                <w:w w:val="91"/>
              </w:rPr>
              <w:t>Change</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90"/>
              <w:spacing w:after="0" w:line="158" w:lineRule="exact"/>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(40)</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2020, we incurred $6 million of litigation charges related primarily to projects in Europe. In 2019, we incurred $6 million of litigation charges, including approximately $4 million related to projects in Europe and approximately $1 million related to projects in California.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Pr>
          <w:p>
            <w:pPr>
              <w:spacing w:after="0"/>
              <w:rPr>
                <w:sz w:val="18"/>
                <w:szCs w:val="18"/>
                <w:color w:val="auto"/>
              </w:rPr>
            </w:pPr>
          </w:p>
        </w:tc>
        <w:tc>
          <w:tcPr>
            <w:tcW w:w="2040" w:type="dxa"/>
            <w:vAlign w:val="bottom"/>
            <w:gridSpan w:val="4"/>
          </w:tcPr>
          <w:p>
            <w:pPr>
              <w:ind w:left="52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ind w:left="436"/>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fee</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Royalty fee expense declined in 2020 as a result of lower contract closings due to the lower contract sales compared to the prior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center"/>
              <w:ind w:left="436"/>
              <w:spacing w:after="0"/>
              <w:rPr>
                <w:sz w:val="20"/>
                <w:szCs w:val="20"/>
                <w:color w:val="auto"/>
              </w:rPr>
            </w:pPr>
            <w:r>
              <w:rPr>
                <w:rFonts w:ascii="Arial" w:cs="Arial" w:eastAsia="Arial" w:hAnsi="Arial"/>
                <w:sz w:val="16"/>
                <w:szCs w:val="16"/>
                <w:b w:val="1"/>
                <w:bCs w:val="1"/>
                <w:color w:val="auto"/>
                <w:w w:val="91"/>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right"/>
              <w:ind w:right="210"/>
              <w:spacing w:after="0" w:line="158" w:lineRule="exact"/>
              <w:rPr>
                <w:sz w:val="20"/>
                <w:szCs w:val="20"/>
                <w:color w:val="auto"/>
              </w:rPr>
            </w:pPr>
            <w:r>
              <w:rPr>
                <w:rFonts w:ascii="Arial" w:cs="Arial" w:eastAsia="Arial" w:hAnsi="Arial"/>
                <w:sz w:val="16"/>
                <w:szCs w:val="16"/>
                <w:b w:val="1"/>
                <w:bCs w:val="1"/>
                <w:color w:val="auto"/>
                <w:w w:val="97"/>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99"/>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(91)</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99</w:t>
            </w:r>
          </w:p>
        </w:tc>
        <w:tc>
          <w:tcPr>
            <w:tcW w:w="6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recorded a non-cash impairment of $6 million related to our Asia Pacific inventory as a result of the COVID-19 pandemic and $2 million of impairment charges for property and equipment.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w:t>
      </w:r>
    </w:p>
    <w:p>
      <w:pPr>
        <w:spacing w:after="0" w:line="11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recorded a non-cash impairment of $26 million as a result of entering into a contract to sell land and land improvements associated with a future phase of an existing resort located in Orlando, Florida for which the book value of the assets to be sold exceeded the sales price. This contract was subsequently terminated. We also recorded a non-cash impairment charge of $72 million due to a change in our development strategy associated with our comprehensive review of the strategic fit of the land holdings and operating hotels in our Vacation Ownership segment as a result of the ILG Acquisition. Additionally, we recorded a non-cash impairment of $1 million related to an ancillary asset located at a Vacation Ownership segment property in Europe.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89"/>
              </w:rPr>
              <w:t>Change 2020 vs. 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3"/>
                <w:szCs w:val="13"/>
                <w:color w:val="auto"/>
              </w:rPr>
            </w:pPr>
          </w:p>
        </w:tc>
        <w:tc>
          <w:tcPr>
            <w:tcW w:w="1680" w:type="dxa"/>
            <w:vAlign w:val="bottom"/>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8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13</w:t>
            </w:r>
          </w:p>
        </w:tc>
        <w:tc>
          <w:tcPr>
            <w:tcW w:w="6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89"/>
              </w:rPr>
              <w:t>Change 2020 vs. 2019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3"/>
                <w:szCs w:val="13"/>
                <w:color w:val="auto"/>
              </w:rPr>
            </w:pPr>
          </w:p>
        </w:tc>
        <w:tc>
          <w:tcPr>
            <w:tcW w:w="1680" w:type="dxa"/>
            <w:vAlign w:val="bottom"/>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4</w:t>
            </w:r>
          </w:p>
        </w:tc>
        <w:tc>
          <w:tcPr>
            <w:tcW w:w="64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we incurred $3 million of transaction costs associated with our asset light inventory arrangements.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Gains and Other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Change 2020 vs. 2019</w:t>
            </w:r>
          </w:p>
        </w:tc>
        <w:tc>
          <w:tcPr>
            <w:tcW w:w="1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ind w:left="436"/>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vMerge w:val="restart"/>
          </w:tcPr>
          <w:p>
            <w:pPr>
              <w:jc w:val="right"/>
              <w:ind w:right="350"/>
              <w:spacing w:after="0"/>
              <w:rPr>
                <w:sz w:val="20"/>
                <w:szCs w:val="20"/>
                <w:color w:val="auto"/>
              </w:rPr>
            </w:pPr>
            <w:r>
              <w:rPr>
                <w:rFonts w:ascii="Arial" w:cs="Arial" w:eastAsia="Arial" w:hAnsi="Arial"/>
                <w:sz w:val="16"/>
                <w:szCs w:val="16"/>
                <w:b w:val="1"/>
                <w:bCs w:val="1"/>
                <w:color w:val="auto"/>
                <w:w w:val="91"/>
              </w:rPr>
              <w:t>Change</w:t>
            </w:r>
          </w:p>
        </w:tc>
        <w:tc>
          <w:tcPr>
            <w:tcW w:w="1680" w:type="dxa"/>
            <w:vAlign w:val="bottom"/>
            <w:tcBorders>
              <w:top w:val="single" w:sz="8" w:color="auto"/>
            </w:tcBorders>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and other income, net</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(16)</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w:t>
            </w:r>
          </w:p>
        </w:tc>
        <w:tc>
          <w:tcPr>
            <w:tcW w:w="6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We recorded $12 million of gains and other income, including $6 million of net gains related to the disposition of excess land parcels in Orlando, Florida and Steamboat Springs, Colorado, $4 million of net insurance proceeds related to the settlement of Legacy-MVW business interruption insurance claims arising from a prior year hurricane, $1 million related to foreign currency translation and $1 million related to a miscellaneous insurance refund.</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recorded $28 million of gains and other income, including $19 million of net gains related to the disposition of excess land in Cancun, Mexico, and Avon, Colorado, and $9 million gains and other income related to net insurance proceeds from the settlement of Legacy-MVW business interruption insurance claims arising from the 2017 hurricanes.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and Aqua-Aston. These brands were acquired as part of our acquisition of ILG on September 1, 2018 and, consequently, are only included in our results for the periods subsequent to that date.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Management and exchange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gains and other (expense) income, net</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BEFORE NONCONTROLLING</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6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68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52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5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Management and Exchange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60" w:type="dxa"/>
            <w:vAlign w:val="bottom"/>
          </w:tcPr>
          <w:p>
            <w:pPr>
              <w:spacing w:after="0"/>
              <w:rPr>
                <w:sz w:val="18"/>
                <w:szCs w:val="18"/>
                <w:color w:val="auto"/>
              </w:rPr>
            </w:pPr>
          </w:p>
        </w:tc>
        <w:tc>
          <w:tcPr>
            <w:tcW w:w="190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0"/>
              </w:rPr>
              <w:t>Change 2019 vs. 2018</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1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center"/>
              <w:ind w:left="493"/>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3"/>
              </w:rPr>
              <w:t>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93"/>
              </w:rPr>
              <w:t>(87)</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3"/>
              </w:rPr>
              <w:t>(89)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0"/>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89"/>
              </w:rPr>
              <w:t>12</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3"/>
              </w:rPr>
              <w:t>(70)</w:t>
            </w: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9"/>
              </w:rPr>
              <w:t>(224%)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3"/>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8"/>
                <w:szCs w:val="18"/>
                <w:color w:val="auto"/>
                <w:w w:val="93"/>
              </w:rPr>
              <w:t>(75)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5"/>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w w:val="99"/>
              </w:rPr>
              <w:t>Management and exchange margin percentage</w:t>
            </w: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57.4%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65.9%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40"/>
              <w:spacing w:after="0" w:line="204" w:lineRule="exact"/>
              <w:rPr>
                <w:sz w:val="20"/>
                <w:szCs w:val="20"/>
                <w:color w:val="auto"/>
              </w:rPr>
            </w:pPr>
            <w:r>
              <w:rPr>
                <w:rFonts w:ascii="Arial" w:cs="Arial" w:eastAsia="Arial" w:hAnsi="Arial"/>
                <w:sz w:val="18"/>
                <w:szCs w:val="18"/>
                <w:color w:val="auto"/>
              </w:rPr>
              <w:t>(8.5 pts)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60"/>
              <w:spacing w:after="0" w:line="204" w:lineRule="exact"/>
              <w:rPr>
                <w:sz w:val="20"/>
                <w:szCs w:val="20"/>
                <w:color w:val="auto"/>
              </w:rPr>
            </w:pPr>
            <w:r>
              <w:rPr>
                <w:rFonts w:ascii="Arial" w:cs="Arial" w:eastAsia="Arial" w:hAnsi="Arial"/>
                <w:sz w:val="18"/>
                <w:szCs w:val="18"/>
                <w:color w:val="auto"/>
              </w:rPr>
              <w:t>(5.4 pts)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decline in management and exchange revenue and margin reflected lower exchange revenues and lower average exchange transaction fees at Interval International, primarily due to the closure of a large number of affiliated resorts and the fact that additional resorts stopped taking reservations in response to the COVID-19 pandemic. In addition, Aqua-Aston was negatively impacted by travel restrictions that significantly affected substantially all of their properties in Hawaii. Lower management and exchange expense reflected lower costs associated with the furlough and reduced work week programs and lower print and postage costs.</w:t>
      </w:r>
    </w:p>
    <w:p>
      <w:pPr>
        <w:spacing w:after="0" w:line="8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While exchange revenues were down in 2020, exchange transactions increased 8 percent in the second half of the year as compared to the prior year, with the fourth quarter increasing 17 percent, reflecting customers’ more recent desire to travel and pent up demand. As of December 31, 2020, over 90 percent of Interval International’s affiliated resorts had reopened.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Fiscal Years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80" w:type="dxa"/>
            <w:vAlign w:val="bottom"/>
          </w:tcPr>
          <w:p>
            <w:pPr>
              <w:spacing w:after="0"/>
              <w:rPr>
                <w:sz w:val="18"/>
                <w:szCs w:val="18"/>
                <w:color w:val="auto"/>
              </w:rPr>
            </w:pPr>
          </w:p>
        </w:tc>
        <w:tc>
          <w:tcPr>
            <w:tcW w:w="1880" w:type="dxa"/>
            <w:vAlign w:val="bottom"/>
            <w:gridSpan w:val="3"/>
          </w:tcPr>
          <w:p>
            <w:pPr>
              <w:ind w:left="100"/>
              <w:spacing w:after="0"/>
              <w:rPr>
                <w:sz w:val="20"/>
                <w:szCs w:val="20"/>
                <w:color w:val="auto"/>
              </w:rPr>
            </w:pPr>
            <w:r>
              <w:rPr>
                <w:rFonts w:ascii="Arial" w:cs="Arial" w:eastAsia="Arial" w:hAnsi="Arial"/>
                <w:sz w:val="16"/>
                <w:szCs w:val="16"/>
                <w:b w:val="1"/>
                <w:bCs w:val="1"/>
                <w:color w:val="auto"/>
              </w:rPr>
              <w:t>Change 2019 vs. 2018</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left="513"/>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9"/>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249%</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color w:val="auto"/>
                <w:w w:val="93"/>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3"/>
              </w:rPr>
              <w:t>(19)</w:t>
            </w: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9"/>
              </w:rPr>
              <w:t>(203%)</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8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5"/>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300%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54.6%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2"/>
              <w:spacing w:after="0" w:line="204" w:lineRule="exact"/>
              <w:rPr>
                <w:sz w:val="20"/>
                <w:szCs w:val="20"/>
                <w:color w:val="auto"/>
              </w:rPr>
            </w:pPr>
            <w:r>
              <w:rPr>
                <w:rFonts w:ascii="Arial" w:cs="Arial" w:eastAsia="Arial" w:hAnsi="Arial"/>
                <w:sz w:val="18"/>
                <w:szCs w:val="18"/>
                <w:color w:val="auto"/>
                <w:w w:val="97"/>
              </w:rPr>
              <w:t>47.7%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53"/>
              <w:spacing w:after="0" w:line="204" w:lineRule="exact"/>
              <w:rPr>
                <w:sz w:val="20"/>
                <w:szCs w:val="20"/>
                <w:color w:val="auto"/>
              </w:rPr>
            </w:pPr>
            <w:r>
              <w:rPr>
                <w:rFonts w:ascii="Arial" w:cs="Arial" w:eastAsia="Arial" w:hAnsi="Arial"/>
                <w:sz w:val="18"/>
                <w:szCs w:val="18"/>
                <w:color w:val="auto"/>
                <w:w w:val="93"/>
              </w:rPr>
              <w:t>16.7 pts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100"/>
              <w:spacing w:after="0" w:line="204" w:lineRule="exact"/>
              <w:rPr>
                <w:sz w:val="20"/>
                <w:szCs w:val="20"/>
                <w:color w:val="auto"/>
              </w:rPr>
            </w:pPr>
            <w:r>
              <w:rPr>
                <w:rFonts w:ascii="Arial" w:cs="Arial" w:eastAsia="Arial" w:hAnsi="Arial"/>
                <w:sz w:val="18"/>
                <w:szCs w:val="18"/>
                <w:color w:val="auto"/>
              </w:rPr>
              <w:t>6.9 pts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decline in rental revenue reflected lower Getaways program transactions and lower average Getaways program transaction fees as a result of resort closures in response to the COVID-19 pandemic.</w:t>
      </w:r>
    </w:p>
    <w:p>
      <w:pPr>
        <w:spacing w:after="0" w:line="6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decline in rental margin reflected the declines in rental revenue, partially offset by a reduction in space procurement costs resulting from fewer bookings into purchased inventory, and adjustments for cancellations and resorts closing for rental stays in response to the COVID-19 pandemic.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Fiscal Years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Change 2020 vs. 2019</w:t>
            </w: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 2019 vs. 2018</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left="456"/>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b w:val="1"/>
                <w:bCs w:val="1"/>
                <w:color w:val="auto"/>
                <w:w w:val="98"/>
              </w:rPr>
              <w:t>Change</w:t>
            </w:r>
          </w:p>
        </w:tc>
        <w:tc>
          <w:tcPr>
            <w:tcW w:w="680" w:type="dxa"/>
            <w:vAlign w:val="bottom"/>
            <w:tcBorders>
              <w:top w:val="single" w:sz="8" w:color="auto"/>
              <w:bottom w:val="single" w:sz="8" w:color="auto"/>
            </w:tcBorders>
          </w:tcPr>
          <w:p>
            <w:pPr>
              <w:spacing w:after="0"/>
              <w:rPr>
                <w:sz w:val="18"/>
                <w:szCs w:val="18"/>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In 2020, we recorded a non-cash impairment charge of $92 million primarily related to a decrease in the fair value of goodwill and certain trademarks resulting from the impact of the COVID-19 pandemic. See Footnote 12 “Goodwill” and Footnote 13 “Intangible Assets” to our Financial Statements for additional information.</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Losses / Gains and Other Expense / Income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3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Fiscal Years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Change 2020 vs. 2019</w:t>
            </w:r>
          </w:p>
        </w:tc>
        <w:tc>
          <w:tcPr>
            <w:tcW w:w="180" w:type="dxa"/>
            <w:vAlign w:val="bottom"/>
          </w:tcPr>
          <w:p>
            <w:pPr>
              <w:spacing w:after="0"/>
              <w:rPr>
                <w:sz w:val="22"/>
                <w:szCs w:val="22"/>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 2019 vs. 2018</w:t>
            </w: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7"/>
              </w:rPr>
              <w:t>Change</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Borders>
              <w:top w:val="single" w:sz="8" w:color="auto"/>
              <w:bottom w:val="single" w:sz="8" w:color="auto"/>
            </w:tcBorders>
          </w:tcPr>
          <w:p>
            <w:pPr>
              <w:spacing w:after="0"/>
              <w:rPr>
                <w:sz w:val="19"/>
                <w:szCs w:val="19"/>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518%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recorded $2 million of net losses and other expense, including a $5 million loss related to the disposition of a previously consolidated subsidiary, partially offset by $3 million of gains and other income from other insurance proceeds.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recorded $3 million of miscellaneous net losses and other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6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Consolidated Property Owners’ Associations revenues and expenses.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7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management and other services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charges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EXPENSES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and other expense, net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ILG acquisition-related costs</w:t>
            </w:r>
          </w:p>
        </w:tc>
        <w:tc>
          <w:tcPr>
            <w:tcW w:w="7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7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5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11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4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0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67" w:lineRule="exact"/>
        <w:rPr>
          <w:sz w:val="20"/>
          <w:szCs w:val="20"/>
          <w:color w:val="auto"/>
        </w:rPr>
      </w:pPr>
    </w:p>
    <w:p>
      <w:pPr>
        <w:ind w:right="360" w:firstLine="648"/>
        <w:spacing w:after="0" w:line="290"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relevant accounting guidance, which represents the portion related to individual or third-party VOI owners.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9"/>
              </w:rPr>
              <w:t>Fiscal Years</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w w:val="98"/>
              </w:rPr>
              <w:t>Resort management and other services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(119)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Resort management and other services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and other income, net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gridSpan w:val="5"/>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w w:val="96"/>
              </w:rPr>
              <w:t>Net (income) loss attributable to noncontrolling interests</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gridSpan w:val="5"/>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Change 2020 vs. 2019</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Change 2019 vs. 2018</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vMerge w:val="restart"/>
          </w:tcPr>
          <w:p>
            <w:pPr>
              <w:jc w:val="right"/>
              <w:ind w:right="1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left="452"/>
              <w:spacing w:after="0"/>
              <w:rPr>
                <w:sz w:val="20"/>
                <w:szCs w:val="20"/>
                <w:color w:val="auto"/>
              </w:rPr>
            </w:pPr>
            <w:r>
              <w:rPr>
                <w:rFonts w:ascii="Arial" w:cs="Arial" w:eastAsia="Arial" w:hAnsi="Arial"/>
                <w:sz w:val="16"/>
                <w:szCs w:val="16"/>
                <w:b w:val="1"/>
                <w:bCs w:val="1"/>
                <w:color w:val="auto"/>
                <w:w w:val="88"/>
              </w:rPr>
              <w:t>Change</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ind w:right="190"/>
              <w:spacing w:after="0" w:line="158" w:lineRule="exact"/>
              <w:rPr>
                <w:sz w:val="20"/>
                <w:szCs w:val="20"/>
                <w:color w:val="auto"/>
              </w:rPr>
            </w:pPr>
            <w:r>
              <w:rPr>
                <w:rFonts w:ascii="Arial" w:cs="Arial" w:eastAsia="Arial" w:hAnsi="Arial"/>
                <w:sz w:val="16"/>
                <w:szCs w:val="16"/>
                <w:b w:val="1"/>
                <w:bCs w:val="1"/>
                <w:color w:val="auto"/>
                <w:w w:val="97"/>
              </w:rPr>
              <w:t>Change Excluding</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7"/>
              </w:rPr>
              <w:t>Legacy-ILG Impact</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(94)</w:t>
            </w:r>
          </w:p>
        </w:tc>
        <w:tc>
          <w:tcPr>
            <w:tcW w:w="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(38%)</w:t>
            </w: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15</w:t>
            </w:r>
          </w:p>
        </w:tc>
        <w:tc>
          <w:tcPr>
            <w:tcW w:w="6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8"/>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General and administrative expenses decreased $94 million due to $26 million of savings related to synergy efforts and lower costs associated with the furlough and reduced work week programs, $17 million related to lower personnel related costs, a $14 million credit related to the incentive under the CARES Act for companies to continue paying associates’ benefit costs while they were not working, and $37 million of lower overall spending across the business on technology, travel, training and other costs as a result of the COVID-19 pandemic. The lower personnel related and other expenses included suspension of annual merit increases and bonuses in response to the COVID-19 pandemic, offset by inflationary cost increases.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7"/>
              </w:rPr>
              <w:t>Fiscal Years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89"/>
              </w:rPr>
              <w:t>Change 2020 vs. 2019</w:t>
            </w:r>
          </w:p>
        </w:tc>
        <w:tc>
          <w:tcPr>
            <w:tcW w:w="1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rPr>
              <w:t>Change 2019 vs. 2018</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3"/>
                <w:szCs w:val="13"/>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3"/>
                <w:szCs w:val="13"/>
                <w:color w:val="auto"/>
              </w:rPr>
            </w:pPr>
          </w:p>
        </w:tc>
        <w:tc>
          <w:tcPr>
            <w:tcW w:w="1680" w:type="dxa"/>
            <w:vAlign w:val="bottom"/>
            <w:gridSpan w:val="2"/>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8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0"/>
                <w:szCs w:val="20"/>
                <w:color w:val="auto"/>
              </w:rPr>
            </w:pPr>
            <w:r>
              <w:rPr>
                <w:rFonts w:ascii="Arial" w:cs="Arial" w:eastAsia="Arial" w:hAnsi="Arial"/>
                <w:sz w:val="18"/>
                <w:szCs w:val="18"/>
                <w:b w:val="1"/>
                <w:bCs w:val="1"/>
                <w:color w:val="auto"/>
              </w:rPr>
              <w:t>Losses and Other Expense,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9"/>
              </w:rPr>
              <w:t>Fiscal Years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89"/>
              </w:rPr>
              <w:t>Change 2020 vs. 2019</w:t>
            </w:r>
          </w:p>
        </w:tc>
        <w:tc>
          <w:tcPr>
            <w:tcW w:w="1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rPr>
              <w:t>Change 2019 vs. 2018</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3"/>
                <w:szCs w:val="13"/>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3"/>
                <w:szCs w:val="13"/>
                <w:color w:val="auto"/>
              </w:rPr>
            </w:pPr>
          </w:p>
        </w:tc>
        <w:tc>
          <w:tcPr>
            <w:tcW w:w="1680" w:type="dxa"/>
            <w:vAlign w:val="bottom"/>
            <w:gridSpan w:val="2"/>
          </w:tcPr>
          <w:p>
            <w:pPr>
              <w:jc w:val="center"/>
              <w:ind w:right="90"/>
              <w:spacing w:after="0" w:line="158" w:lineRule="exact"/>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(27)</w:t>
            </w: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w:t>
      </w:r>
    </w:p>
    <w:p>
      <w:pPr>
        <w:spacing w:after="0" w:line="11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recorded $36 million of net losses and other expense, including $32 million for the true-up to an indemnification receivable from Marriott International as a result of a settlement of an indemnified liability with a taxing authority (the true-up to the offsetting accrual is included in the Benefit (provision) for income taxes line), and $12 million related to foreign currency</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7" w:name="page58"/>
    <w:bookmarkEnd w:id="57"/>
    <w:p>
      <w:pPr>
        <w:ind w:right="300"/>
        <w:spacing w:after="0" w:line="277" w:lineRule="auto"/>
        <w:rPr>
          <w:sz w:val="20"/>
          <w:szCs w:val="20"/>
          <w:color w:val="auto"/>
        </w:rPr>
      </w:pPr>
      <w:r>
        <w:rPr>
          <w:rFonts w:ascii="Arial" w:cs="Arial" w:eastAsia="Arial" w:hAnsi="Arial"/>
          <w:sz w:val="18"/>
          <w:szCs w:val="18"/>
          <w:color w:val="auto"/>
        </w:rPr>
        <w:t>translation, partially offset by $6 million of other income related to an indemnification from Marriott International for VAT penalties and interest and $2 million of miscellaneous net gains and other income.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w:t>
      </w:r>
    </w:p>
    <w:p>
      <w:pPr>
        <w:spacing w:after="0" w:line="11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recorded $9 million of net losses and other expense, including $10 million of ILG integration-related tax matters and $2 million of losses and other expense resulting from foreign currency translation, partially offset by $3 million of gains and other income resulting from the recovery of a portion of the fraudulently induced electronic payment disbursements made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Change 2020 vs. 2019</w:t>
            </w:r>
          </w:p>
        </w:tc>
        <w:tc>
          <w:tcPr>
            <w:tcW w:w="140" w:type="dxa"/>
            <w:vAlign w:val="bottom"/>
          </w:tcPr>
          <w:p>
            <w:pPr>
              <w:spacing w:after="0"/>
              <w:rPr>
                <w:sz w:val="18"/>
                <w:szCs w:val="18"/>
                <w:color w:val="auto"/>
              </w:rPr>
            </w:pPr>
          </w:p>
        </w:tc>
        <w:tc>
          <w:tcPr>
            <w:tcW w:w="270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Change 2019 vs. 2018</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center"/>
              <w:ind w:left="436"/>
              <w:spacing w:after="0"/>
              <w:rPr>
                <w:sz w:val="20"/>
                <w:szCs w:val="20"/>
                <w:color w:val="auto"/>
              </w:rPr>
            </w:pPr>
            <w:r>
              <w:rPr>
                <w:rFonts w:ascii="Arial" w:cs="Arial" w:eastAsia="Arial" w:hAnsi="Arial"/>
                <w:sz w:val="16"/>
                <w:szCs w:val="16"/>
                <w:b w:val="1"/>
                <w:bCs w:val="1"/>
                <w:color w:val="auto"/>
                <w:w w:val="91"/>
              </w:rPr>
              <w:t>Change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36"/>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90"/>
              <w:spacing w:after="0" w:line="158" w:lineRule="exact"/>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(77)</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Interest expense increased $18 million due primarily to $20 million of higher interest expense associated with the new debt issued in May 2020, partially offset by $2 million of lower interest expense associated with various other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Arial" w:cs="Arial" w:eastAsia="Arial" w:hAnsi="Arial"/>
                <w:sz w:val="16"/>
                <w:szCs w:val="16"/>
                <w:b w:val="1"/>
                <w:bCs w:val="1"/>
                <w:color w:val="auto"/>
              </w:rPr>
              <w:t>Fiscal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Change 2020 vs. 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ind w:left="50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ind w:left="395"/>
              <w:spacing w:after="0"/>
              <w:rPr>
                <w:sz w:val="20"/>
                <w:szCs w:val="20"/>
                <w:color w:val="auto"/>
              </w:rPr>
            </w:pPr>
            <w:r>
              <w:rPr>
                <w:rFonts w:ascii="Arial" w:cs="Arial" w:eastAsia="Arial" w:hAnsi="Arial"/>
                <w:sz w:val="16"/>
                <w:szCs w:val="16"/>
                <w:b w:val="1"/>
                <w:bCs w:val="1"/>
                <w:color w:val="auto"/>
                <w:w w:val="88"/>
              </w:rPr>
              <w:t>Change</w:t>
            </w:r>
          </w:p>
        </w:tc>
        <w:tc>
          <w:tcPr>
            <w:tcW w:w="6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Change</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center"/>
              <w:ind w:right="70"/>
              <w:spacing w:after="0" w:line="158" w:lineRule="exact"/>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26"/>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ILG acquisition-related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56</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Fiscal Years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75"/>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6"/>
                <w:szCs w:val="16"/>
                <w:b w:val="1"/>
                <w:bCs w:val="1"/>
                <w:color w:val="auto"/>
              </w:rPr>
              <w:t>Change 2020 vs. 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4"/>
              </w:rPr>
              <w:t>Change 2019 vs. 2018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167</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change in the Benefit (provision) for income taxes is predominately attributable to a pre-tax loss for fiscal year 2020 compared to pre-tax income for fiscal year 2019 and benefits of the CARES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capital needs are supported by cash on hand ($524 million at the end of 2020),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w:t>
      </w:r>
      <w:r>
        <w:rPr>
          <w:rFonts w:ascii="Arial" w:cs="Arial" w:eastAsia="Arial" w:hAnsi="Arial"/>
          <w:sz w:val="16"/>
          <w:szCs w:val="16"/>
          <w:color w:val="EE2724"/>
        </w:rPr>
        <w:t>.</w:t>
      </w:r>
      <w:r>
        <w:rPr>
          <w:rFonts w:ascii="Arial" w:cs="Arial" w:eastAsia="Arial" w:hAnsi="Arial"/>
          <w:sz w:val="16"/>
          <w:szCs w:val="16"/>
          <w:color w:val="auto"/>
        </w:rPr>
        <w:t xml:space="preserve"> At the end of 2020, we had $4.3 billion of total gross debt outstanding, which included $1.6 billion of non-recourse securitized debt, $1.1 billion of gross senior unsecured notes, $0.9 billion of gross secured indebtedness under the Corporate Credit Facility, $0.5 billion of gross senior secured notes, and $0.2 billion of 2022 Convertible Notes.</w:t>
      </w:r>
    </w:p>
    <w:p>
      <w:pPr>
        <w:spacing w:after="0" w:line="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Subsequent to the end of 2020, we entered into a definitive agreement to acquire Welk Resorts, one of the largest independent timeshare companies in North America, for approximately $430 million, including approximately 1.4 million shares of our common stock, which will be valued at $134 per share. The remaining purchase price will be paid in cash. The acquisition is expected to close early in the second quarter of 2021.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jc w:val="both"/>
        <w:ind w:firstLine="648"/>
        <w:spacing w:after="0" w:line="272" w:lineRule="auto"/>
        <w:rPr>
          <w:sz w:val="20"/>
          <w:szCs w:val="20"/>
          <w:color w:val="auto"/>
        </w:rPr>
      </w:pPr>
      <w:r>
        <w:rPr>
          <w:rFonts w:ascii="Arial" w:cs="Arial" w:eastAsia="Arial" w:hAnsi="Arial"/>
          <w:sz w:val="17"/>
          <w:szCs w:val="17"/>
          <w:color w:val="auto"/>
        </w:rPr>
        <w:t>Additionally, subsequent to the end of 2020, we issued $575 million of 0.00% Convertible Senior Notes due 2026 (the “2026 Convertible Notes”) with an initial conversion price of $171.01 per share. To reduce the potential dilution to earnings per share upon conversion of the 2026 Convertible Notes, we also entered into privately negotiated convertible note hedges at a strike price that initially corresponds to the initial conversion price of the 2026 Convertible Notes and warrant transactions at an initial strike price of $213.76 per share, which represents a premium of 75% over the last reported sale price of our common stock on January 27, 2021. We expect to use the net proceeds to finance and consummate the acquisition of Welk Resorts, repay certain outstanding Welk Resorts debt, repay a portion of our term loan and pay transaction expenses and other fees in connection therewith, and to the extent of any remaining proceeds, for other general corporate purposes.</w:t>
      </w:r>
    </w:p>
    <w:p>
      <w:pPr>
        <w:spacing w:after="0" w:line="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end of 2020, we had $749 million of completed real estate inventory on hand. In addition, we had $162 million of completed vacation ownership units that have been classified as a component of Property and equipment until the time at which they are legally registered for sale as vacation ownership products.</w:t>
      </w:r>
    </w:p>
    <w:p>
      <w:pPr>
        <w:spacing w:after="0" w:line="76"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development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closely align the timing of our real estate inventory acquisitions with the pace of sales of vacation ownership products.</w:t>
      </w:r>
    </w:p>
    <w:p>
      <w:pPr>
        <w:spacing w:after="0" w:line="56"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w:t>
      </w:r>
    </w:p>
    <w:p>
      <w:pPr>
        <w:spacing w:after="0" w:line="6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 This segment is expected to be less capital intensive than our Vacation Ownership segment and is expected to be funded with cash generated from segment operations.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Fiscal Years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p>
      <w:pPr>
        <w:ind w:right="60" w:firstLine="648"/>
        <w:spacing w:after="0" w:line="259" w:lineRule="auto"/>
        <w:rPr>
          <w:sz w:val="20"/>
          <w:szCs w:val="20"/>
          <w:color w:val="auto"/>
        </w:rPr>
      </w:pPr>
      <w:r>
        <w:rPr>
          <w:rFonts w:ascii="Arial" w:cs="Arial" w:eastAsia="Arial" w:hAnsi="Arial"/>
          <w:sz w:val="18"/>
          <w:szCs w:val="18"/>
          <w:color w:val="auto"/>
        </w:rPr>
        <w:t>In 2020, we generated $299 million of cash flows from operating activities compared to $382 million in 2019. Excluding the impact of changes in net income and adjustments for non-cash items, the change in cash flows from operations reflected lower sales and rentals deposits due to the COVID-19 pandemic and higher net inventory activity, partially offset by higher collections of outstanding vacation ownership notes receivable and lower operational expense spending.</w:t>
      </w:r>
    </w:p>
    <w:p>
      <w:pPr>
        <w:spacing w:after="0" w:line="7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2019, we generated $382 million of cash flows from operating activities compared to $97 million in 2018. Excluding the impact of changes in net income and adjustments for non-cash items, the change in cash flows from operations reflected higher originations of vacation ownership notes receivable driven by higher contract sales and slightly higher financing propensity, higher inventory spending, lower ILG acquisition-related costs, and timing of certain annual compensation-related outflows partially offset by higher collections due to an increasing portfolio of outstanding vacation ownership notes receivable. The impact of changes in operating cash flows in 2019 also included $118 million of ILG acquisition-related costs, partially offset by business interruption insurance proceeds of $6 million for Legacy-MVW losses and $38 million for Legacy-ILG losses.</w:t>
      </w:r>
    </w:p>
    <w:p>
      <w:pPr>
        <w:spacing w:after="0" w:line="5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net (loss) income and adjustments for non-cash items, the following operating activities are key drivers of our cash flow from operating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Less Than Cost of 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300" w:type="dxa"/>
            <w:vAlign w:val="bottom"/>
          </w:tcPr>
          <w:p>
            <w:pPr>
              <w:spacing w:after="0"/>
              <w:rPr>
                <w:sz w:val="19"/>
                <w:szCs w:val="19"/>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w w:val="93"/>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Inventory spending (in excess of) less than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 Given the significant level of completed real estate inventory on hand, as well as the capital efficiency resulting from our points programs and capital efficient transactions, our spending for real estate inventory remained below the amount of real estate inventory costs in 2019 and 2018. In 2020, however, while our spending for real estate inventory remained low, given the slowdown in sales pace as a result of the COVID-19 pandemic, inventory spending was above inventory costs for the year.</w:t>
      </w:r>
    </w:p>
    <w:p>
      <w:pPr>
        <w:spacing w:after="0" w:line="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inventory spending in 2020 included a payment to acquire 34 completed vacation ownership units located at our Marriott Vacation Club Pulse, San Francisco property for $26 million, of which $5 million was a prepayment for future tranches of completed vacation ownership units. Purchase of vacation ownership units for future transfer to inventory also included the balance of the price allocated to acquire 57 completed vacation ownership units at our Marriott Vacation Club Pulse, New York property.</w:t>
      </w:r>
    </w:p>
    <w:p>
      <w:pPr>
        <w:spacing w:after="0" w:line="7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inventory spending in 2019 included a payment to satisfy our commitment to purchase 78 vacation ownership units located in San Francisco, California for $48 million. Purchase of vacation ownership units for future transfer to inventory for 2019 included a $20 million advance payment to satisfy a portion of our commitment to purchase 57 vacation ownership units located at our Marriott Vacation Club Pulse, New York property.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Footnote 4 “Acquisitions and Dispositions” to our Financial Statements for additional information regarding the transactions discussed above.</w:t>
      </w:r>
    </w:p>
    <w:p>
      <w:pPr>
        <w:spacing w:after="0" w:line="140"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 However, given the impact of the COVID-19 pandemic, we have temporarily discontinued the majority of this repurchase activity.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In Excess of (Less Than) Originations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6"/>
              </w:rPr>
              <w:t>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6"/>
              </w:rPr>
              <w:t>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300" w:type="dxa"/>
            <w:vAlign w:val="bottom"/>
          </w:tcPr>
          <w:p>
            <w:pPr>
              <w:spacing w:after="0"/>
              <w:rPr>
                <w:sz w:val="19"/>
                <w:szCs w:val="19"/>
                <w:color w:val="auto"/>
              </w:rPr>
            </w:pPr>
          </w:p>
        </w:tc>
        <w:tc>
          <w:tcPr>
            <w:tcW w:w="1020" w:type="dxa"/>
            <w:vAlign w:val="bottom"/>
          </w:tcPr>
          <w:p>
            <w:pPr>
              <w:jc w:val="center"/>
              <w:ind w:left="512"/>
              <w:spacing w:after="0"/>
              <w:rPr>
                <w:sz w:val="20"/>
                <w:szCs w:val="20"/>
                <w:color w:val="auto"/>
              </w:rPr>
            </w:pPr>
            <w:r>
              <w:rPr>
                <w:rFonts w:ascii="Arial" w:cs="Arial" w:eastAsia="Arial" w:hAnsi="Arial"/>
                <w:sz w:val="18"/>
                <w:szCs w:val="18"/>
                <w:color w:val="auto"/>
                <w:w w:val="86"/>
              </w:rPr>
              <w:t>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12"/>
              <w:spacing w:after="0"/>
              <w:rPr>
                <w:sz w:val="20"/>
                <w:szCs w:val="20"/>
                <w:color w:val="auto"/>
              </w:rPr>
            </w:pPr>
            <w:r>
              <w:rPr>
                <w:rFonts w:ascii="Arial" w:cs="Arial" w:eastAsia="Arial" w:hAnsi="Arial"/>
                <w:sz w:val="18"/>
                <w:szCs w:val="18"/>
                <w:color w:val="auto"/>
                <w:w w:val="86"/>
              </w:rPr>
              <w:t>271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95"/>
              </w:rPr>
              <w:t>(377)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95"/>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Vacation ownership notes receivable collections in excess of (less than) originations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6"/>
              </w:rPr>
              <w:t>243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color w:val="auto"/>
                <w:w w:val="95"/>
              </w:rPr>
              <w:t>(244)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554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ind w:right="20" w:firstLine="648"/>
        <w:spacing w:after="0" w:line="275"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in 2020 compared to 2019 due to a higher portfolio of outstanding vacation ownership notes receivable at the beginning of 2020. Vacation ownership notes receivable originations in 2020 decreased due to lower sales due to the COVID-19 pandemic and a lower financing propensity. Financing propensity declined to 51 percent in 2020 from 63 percent in 2019 as a result of the various sales programs that we offered to incentivize cash purchases over financed purchases during the year, in response to the COVID-19 pandemic.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Disposition of subsidiary shares to noncontrolling interest holder</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collection of notes receivable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Dispositions,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cash equivalents, and restricted cash (used in) provided by investing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2019, we collected $23 million of notes receivable related to the disposition of our interest in VRI Europe during the fourth quarter of 2018. In addition, we also collected a $15 million note receivable acquired in the ILG Acquisition.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jc w:val="both"/>
        <w:ind w:right="540" w:firstLine="648"/>
        <w:spacing w:after="0" w:line="311" w:lineRule="auto"/>
        <w:rPr>
          <w:sz w:val="20"/>
          <w:szCs w:val="20"/>
          <w:color w:val="auto"/>
        </w:rPr>
      </w:pPr>
      <w:r>
        <w:rPr>
          <w:rFonts w:ascii="Arial" w:cs="Arial" w:eastAsia="Arial" w:hAnsi="Arial"/>
          <w:sz w:val="16"/>
          <w:szCs w:val="16"/>
          <w:color w:val="auto"/>
        </w:rPr>
        <w:t>In 2020, capital expenditures for property and equipment of $41 million included $40 million to support business operations (including $27 million for ancillary and other operations assets and $13 million for sales locations) and $1 million for technology spending. Given the impact of the COVID-19 pandemic, we significantly reduced our planned spending for property and equipment beginning with the second quarter of 2020.</w:t>
      </w:r>
    </w:p>
    <w:p>
      <w:pPr>
        <w:spacing w:after="0" w:line="41" w:lineRule="exact"/>
        <w:rPr>
          <w:sz w:val="20"/>
          <w:szCs w:val="20"/>
          <w:color w:val="auto"/>
        </w:rPr>
      </w:pPr>
    </w:p>
    <w:p>
      <w:pPr>
        <w:jc w:val="both"/>
        <w:ind w:right="540" w:firstLine="648"/>
        <w:spacing w:after="0" w:line="308" w:lineRule="auto"/>
        <w:rPr>
          <w:sz w:val="20"/>
          <w:szCs w:val="20"/>
          <w:color w:val="auto"/>
        </w:rPr>
      </w:pPr>
      <w:r>
        <w:rPr>
          <w:rFonts w:ascii="Arial" w:cs="Arial" w:eastAsia="Arial" w:hAnsi="Arial"/>
          <w:sz w:val="17"/>
          <w:szCs w:val="17"/>
          <w:color w:val="auto"/>
        </w:rPr>
        <w:t>In 2019, capital expenditures for property and equipment of $46 million included $32 million to support business operations (including $19 million for ancillary and other operations assets and $13 million for sales locations) and $14 million for technology spending.</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2 “Summary of Significant Accounting Policies” to our Financial Statements. During 2020, 2019, and 2018 we paid $6 million, $6 million, and $14 million, respectively, to acquire these policies.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Dispositions of $15 million during 2020 related to the disposition of excess land parcels in Orlando, Florida and Steamboat Springs, Colorado as part of our strategic decision to reduce holdings in markets where we have excess supply. Dispositions of $51 million during 2019 related to our dispositions of excess land parcels in Cancun, Mexico and Avon, Colorado as part of our strategic decision to reduce holdings in markets where we have excess supply. See additional information on these dispositions in Footnote 4 “Acquisitions and Dispositions” to our Financial Statements for additional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from securitization transactions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Repayment of debt related to securitization transactions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payment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Payment of dividends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Net cash, cash equivalents, and restricted cash provided by (used in) by financing activities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third quarter of 2020, we completed the securitization of a pool of $383 million of vacation ownership notes receivable. In connection with the securitization, investors purchased in a private placement $375 million in vacation ownership loan backed notes from MVW 2020-1 LLC (the “2020-1 LLC”).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$300 million was used to repay all outstanding amounts previously drawn under the Warehouse Credit Facility, as defined below, $7 million was used to pay transaction expenses and fund required reserves, and the remainder will be used for general corporate purposes.</w:t>
      </w:r>
    </w:p>
    <w:p>
      <w:pPr>
        <w:spacing w:after="0" w:line="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2020, we securitized vacation ownership notes receivable under our Warehouse Credit Facility. The total carrying amount of the vacation ownership notes receivable securitized was $372 million. The average advance rate was 85 percent, which resulted in total gross proceeds of $315 million. Total net proceeds were $313 million due to the funding of reserve accounts of $2 million. As of December 31, 2020, $147 million of gross vacation ownership notes receivable were eligible for securitization.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2020, we borrowed an additional $666 million under our Revolving Corporate Credit Facility, which is part of our Corporate Credit Facility, to facilitate the funding of our short-term working capital needs and to increase our cash position and preserve financial flexibility in light of the impact on global markets resulting from the COVID-19 pandemic. During 2020, we repaid $696 million under the Revolving Corporate Credit Facility and no amounts were outstanding as of December 31, 2020. Additionally, during 2020, we repaid $9 million of the amount outstanding under the Term Loan, which is also part of our Corporate Credit Facility.</w:t>
      </w:r>
    </w:p>
    <w:p>
      <w:pPr>
        <w:spacing w:after="0" w:line="8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During 2019, we borrowed $585 million under our Revolving Corporate Credit Facility to facilitate the funding of our short-term working capital needs, of which $554 million was repaid during 2019. Also during 2019, we repaid $7 million of the amount outstanding under the Term Loan.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17 “Debt” to our Financial Statements for additional information regarding our Corporate Credit Facility.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u w:val="single" w:color="auto"/>
          <w:color w:val="auto"/>
        </w:rPr>
        <w:t>Proceeds from Senior Secured Debt</w:t>
      </w:r>
    </w:p>
    <w:p>
      <w:pPr>
        <w:spacing w:after="0" w:line="11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During the second quarter of 2020, we issued $500 million of senior secured notes, the 2025 Notes, as discussed further in Footnote 17 “Debt” to our Financial Statements. After deducting offering expenses and the underwriting discount, we received net proceeds of approximately $493 million from the offering of the 2025 Notes, which we used to repay all amounts outstanding at that time on our Revolving Corporate Credit Facility.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Proceeds from Senior Unsecured Debt</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2019, we issued $350 million of senior unsecured notes, the 2028 Notes, as discussed further in Footnote 17 “Debt” to our Financial Statements. The net proceeds from the 2028 Notes were used (i) to redeem all of the outstanding IAC Notes, (ii) to redeem all of the outstanding Exchange Notes, (iii) to repay a portion of the outstanding borrowings under our Revolving Corporate Credit Facility, (iv) to pay transaction expenses and fees in connection with each of the foregoing and (v) for general corporate purposes.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Repayments of Non-interest Bearing Note Payable</w:t>
      </w:r>
    </w:p>
    <w:p>
      <w:pPr>
        <w:spacing w:after="0" w:line="11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During 2019, we paid the last installment of $31 million on a non-interest bearing note payable related to the acquisition of 112 completed vacation ownership units located on the Big Island of Hawaii in 2017.</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2020, we incurred $14 million of debt issuance costs, which included $7 million associated with the issuance of senior secured notes (the 2025 Notes), $5 million associated with the 2020-1 vacation ownership notes receivable securitization, $1 million associated with the Waiver, and $1 million associated with an amendment of the Warehouse Credit Facility</w:t>
      </w:r>
    </w:p>
    <w:p>
      <w:pPr>
        <w:spacing w:after="0" w:line="76"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2019, we incurred $20 million of debt issuance costs, which included $12 million associated with the 2019 vacation ownership notes receivable securitizations, $5 million associated with the issuance of senior unsecured notes (the 2028 Notes), $2 million associated with an amendment and extension of the Warehouse Credit Facility, and $1 million related to an amendment of the Revolving Corporate Credit Facility.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 of 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share repurchase activity under our share repurchase program, which expired on December 31,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Cost of Shares</w:t>
            </w:r>
          </w:p>
        </w:tc>
        <w:tc>
          <w:tcPr>
            <w:tcW w:w="180" w:type="dxa"/>
            <w:vAlign w:val="bottom"/>
          </w:tcPr>
          <w:p>
            <w:pPr>
              <w:spacing w:after="0"/>
              <w:rPr>
                <w:sz w:val="16"/>
                <w:szCs w:val="16"/>
                <w:color w:val="auto"/>
              </w:rPr>
            </w:pPr>
          </w:p>
        </w:tc>
        <w:tc>
          <w:tcPr>
            <w:tcW w:w="134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Average Price</w:t>
            </w:r>
          </w:p>
        </w:tc>
      </w:tr>
      <w:tr>
        <w:trPr>
          <w:trHeight w:val="213"/>
        </w:trPr>
        <w:tc>
          <w:tcPr>
            <w:tcW w:w="6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Repurchased</w:t>
            </w:r>
          </w:p>
        </w:tc>
        <w:tc>
          <w:tcPr>
            <w:tcW w:w="180" w:type="dxa"/>
            <w:vAlign w:val="bottom"/>
          </w:tcPr>
          <w:p>
            <w:pPr>
              <w:spacing w:after="0"/>
              <w:rPr>
                <w:sz w:val="18"/>
                <w:szCs w:val="18"/>
                <w:color w:val="auto"/>
              </w:rPr>
            </w:pPr>
          </w:p>
        </w:tc>
        <w:tc>
          <w:tcPr>
            <w:tcW w:w="1340" w:type="dxa"/>
            <w:vAlign w:val="bottom"/>
          </w:tcPr>
          <w:p>
            <w:pPr>
              <w:jc w:val="right"/>
              <w:ind w:right="154"/>
              <w:spacing w:after="0"/>
              <w:rPr>
                <w:sz w:val="20"/>
                <w:szCs w:val="20"/>
                <w:color w:val="auto"/>
              </w:rPr>
            </w:pPr>
            <w:r>
              <w:rPr>
                <w:rFonts w:ascii="Arial" w:cs="Arial" w:eastAsia="Arial" w:hAnsi="Arial"/>
                <w:sz w:val="16"/>
                <w:szCs w:val="16"/>
                <w:b w:val="1"/>
                <w:bCs w:val="1"/>
                <w:color w:val="auto"/>
                <w:w w:val="96"/>
              </w:rPr>
              <w:t>Paid per Share</w:t>
            </w:r>
          </w:p>
        </w:tc>
      </w:tr>
      <w:tr>
        <w:trPr>
          <w:trHeight w:val="22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 the year ended December 31, 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106.60</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See Footnote 18 “Shareholders' Equity” to our Financial Statements for further information related to our share repurchase program. Due to the impact of the COVID-19 pandemic, we temporarily suspended repurchasing shares of our common stock. Future share repurchases will be subject to the restrictions imposed under the Waiver as well as Board approval of a new repurchase program, which will depend on our financial condition, results of operations and capital requirements, in addition to applicable law, regulatory constraints, industry practice and other business considerations that our Board of Directors considers relevant.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of Dividends to Common Shareholders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for the year ended December 31, 2020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226"/>
        </w:trPr>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23, 2019</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6, 2020</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$0.54</w:t>
            </w:r>
          </w:p>
        </w:tc>
      </w:tr>
      <w:tr>
        <w:trPr>
          <w:trHeight w:val="230"/>
        </w:trPr>
        <w:tc>
          <w:tcPr>
            <w:tcW w:w="3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14, 2020</w:t>
            </w:r>
          </w:p>
        </w:tc>
        <w:tc>
          <w:tcPr>
            <w:tcW w:w="3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3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12, 2020</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$0.54</w:t>
            </w:r>
          </w:p>
        </w:tc>
      </w:tr>
    </w:tbl>
    <w:p>
      <w:pPr>
        <w:spacing w:after="0" w:line="20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Given the impact of the COVID-19 pandemic, we temporarily suspended cash dividends. In addition, our Corporate Credit Facility and the indentures governing our senior notes contain restrictions on our ability to pay dividends. Future dividend payments will also be subject to both the restrictions imposed under the Waiver and Board approval, which will depend on our financial condition, results of operations and capital requirements, as well as applicable law, regulatory and contractual constraints, industry practice and other business considerations that our Board of Directors considers relevant. The payment of certain cash dividends may also result in an adjustment to the conversion rate of the 2022 Convertible Notes in a manner adverse to us. Accordingly, there can be no assurance that we will pay dividends in the future at the same rate or at all.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2026 Notes and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December 31, 2020, and for the twelve months ended December 31, 2020, for MVWC and MORI on a stand-alone basis (collectively, the “Issuers”), the Senior Notes Guarantors, the combined non-guarantor subsidiaries of MVW, and MVW on a consolidated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w w:val="95"/>
              </w:rPr>
              <w:t>As of December 31, 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5"/>
          </w:tcPr>
          <w:p>
            <w:pPr>
              <w:ind w:left="520"/>
              <w:spacing w:after="0"/>
              <w:rPr>
                <w:sz w:val="20"/>
                <w:szCs w:val="20"/>
                <w:color w:val="auto"/>
              </w:rPr>
            </w:pPr>
            <w:r>
              <w:rPr>
                <w:rFonts w:ascii="Arial" w:cs="Arial" w:eastAsia="Arial" w:hAnsi="Arial"/>
                <w:sz w:val="16"/>
                <w:szCs w:val="16"/>
                <w:b w:val="1"/>
                <w:bCs w:val="1"/>
                <w:color w:val="auto"/>
              </w:rPr>
              <w:t>Issuers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right"/>
              <w:spacing w:after="0" w:line="122" w:lineRule="exact"/>
              <w:rPr>
                <w:sz w:val="20"/>
                <w:szCs w:val="20"/>
                <w:color w:val="auto"/>
              </w:rPr>
            </w:pPr>
            <w:r>
              <w:rPr>
                <w:rFonts w:ascii="Arial" w:cs="Arial" w:eastAsia="Arial" w:hAnsi="Arial"/>
                <w:sz w:val="14"/>
                <w:szCs w:val="14"/>
                <w:b w:val="1"/>
                <w:bCs w:val="1"/>
                <w:color w:val="auto"/>
              </w:rPr>
              <w:t>Senior Notes</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4"/>
                <w:szCs w:val="4"/>
                <w:color w:val="auto"/>
              </w:rPr>
            </w:pPr>
          </w:p>
        </w:tc>
        <w:tc>
          <w:tcPr>
            <w:tcW w:w="1140" w:type="dxa"/>
            <w:vAlign w:val="bottom"/>
            <w:gridSpan w:val="2"/>
            <w:vMerge w:val="restart"/>
          </w:tcPr>
          <w:p>
            <w:pPr>
              <w:ind w:left="280"/>
              <w:spacing w:after="0" w:line="12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4"/>
                <w:szCs w:val="4"/>
                <w:color w:val="auto"/>
              </w:rPr>
            </w:pPr>
          </w:p>
        </w:tc>
        <w:tc>
          <w:tcPr>
            <w:tcW w:w="2900" w:type="dxa"/>
            <w:vAlign w:val="bottom"/>
            <w:gridSpan w:val="2"/>
            <w:vMerge w:val="restart"/>
          </w:tcPr>
          <w:p>
            <w:pPr>
              <w:jc w:val="center"/>
              <w:ind w:right="2220"/>
              <w:spacing w:after="0" w:line="122" w:lineRule="exact"/>
              <w:rPr>
                <w:sz w:val="20"/>
                <w:szCs w:val="20"/>
                <w:color w:val="auto"/>
              </w:rPr>
            </w:pPr>
            <w:r>
              <w:rPr>
                <w:rFonts w:ascii="Arial" w:cs="Arial" w:eastAsia="Arial" w:hAnsi="Arial"/>
                <w:sz w:val="14"/>
                <w:szCs w:val="14"/>
                <w:b w:val="1"/>
                <w:bCs w:val="1"/>
                <w:color w:val="auto"/>
              </w:rPr>
              <w:t>MVW</w:t>
            </w: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MVWC</w:t>
            </w:r>
          </w:p>
        </w:tc>
        <w:tc>
          <w:tcPr>
            <w:tcW w:w="14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jc w:val="right"/>
              <w:ind w:right="90"/>
              <w:spacing w:after="0"/>
              <w:rPr>
                <w:sz w:val="20"/>
                <w:szCs w:val="20"/>
                <w:color w:val="auto"/>
              </w:rPr>
            </w:pPr>
            <w:r>
              <w:rPr>
                <w:rFonts w:ascii="Arial" w:cs="Arial" w:eastAsia="Arial" w:hAnsi="Arial"/>
                <w:sz w:val="16"/>
                <w:szCs w:val="16"/>
                <w:b w:val="1"/>
                <w:bCs w:val="1"/>
                <w:color w:val="auto"/>
              </w:rPr>
              <w:t>MORI</w:t>
            </w:r>
          </w:p>
        </w:tc>
        <w:tc>
          <w:tcPr>
            <w:tcW w:w="140" w:type="dxa"/>
            <w:vAlign w:val="bottom"/>
            <w:vMerge w:val="restart"/>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0"/>
              </w:rPr>
              <w:t>Guarantors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Vacation ownership notes</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1,840</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receivable, net</w:t>
            </w: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952</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8,898</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Debt, net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2,680</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2,651</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8,898</w:t>
            </w: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9"/>
              </w:rPr>
              <w:t>62</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04"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ind w:left="520"/>
              <w:spacing w:after="0"/>
              <w:rPr>
                <w:sz w:val="20"/>
                <w:szCs w:val="20"/>
                <w:color w:val="auto"/>
              </w:rPr>
            </w:pPr>
            <w:r>
              <w:rPr>
                <w:rFonts w:ascii="Arial" w:cs="Arial" w:eastAsia="Arial" w:hAnsi="Arial"/>
                <w:sz w:val="16"/>
                <w:szCs w:val="16"/>
                <w:b w:val="1"/>
                <w:bCs w:val="1"/>
                <w:color w:val="auto"/>
              </w:rPr>
              <w:t>Issuers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restart"/>
          </w:tcPr>
          <w:p>
            <w:pPr>
              <w:ind w:left="100"/>
              <w:spacing w:after="0" w:line="122" w:lineRule="exact"/>
              <w:rPr>
                <w:sz w:val="20"/>
                <w:szCs w:val="20"/>
                <w:color w:val="auto"/>
              </w:rPr>
            </w:pPr>
            <w:r>
              <w:rPr>
                <w:rFonts w:ascii="Arial" w:cs="Arial" w:eastAsia="Arial" w:hAnsi="Arial"/>
                <w:sz w:val="14"/>
                <w:szCs w:val="14"/>
                <w:b w:val="1"/>
                <w:bCs w:val="1"/>
                <w:color w:val="auto"/>
              </w:rPr>
              <w:t>Senior Notes</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4"/>
                <w:szCs w:val="4"/>
                <w:color w:val="auto"/>
              </w:rPr>
            </w:pPr>
          </w:p>
        </w:tc>
        <w:tc>
          <w:tcPr>
            <w:tcW w:w="1140" w:type="dxa"/>
            <w:vAlign w:val="bottom"/>
            <w:gridSpan w:val="2"/>
            <w:vMerge w:val="restart"/>
          </w:tcPr>
          <w:p>
            <w:pPr>
              <w:ind w:left="260"/>
              <w:spacing w:after="0" w:line="12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4"/>
                <w:szCs w:val="4"/>
                <w:color w:val="auto"/>
              </w:rPr>
            </w:pPr>
          </w:p>
        </w:tc>
        <w:tc>
          <w:tcPr>
            <w:tcW w:w="900" w:type="dxa"/>
            <w:vAlign w:val="bottom"/>
            <w:vMerge w:val="restart"/>
          </w:tcPr>
          <w:p>
            <w:pPr>
              <w:jc w:val="right"/>
              <w:ind w:right="252"/>
              <w:spacing w:after="0" w:line="122" w:lineRule="exact"/>
              <w:rPr>
                <w:sz w:val="20"/>
                <w:szCs w:val="20"/>
                <w:color w:val="auto"/>
              </w:rPr>
            </w:pPr>
            <w:r>
              <w:rPr>
                <w:rFonts w:ascii="Arial" w:cs="Arial" w:eastAsia="Arial" w:hAnsi="Arial"/>
                <w:sz w:val="14"/>
                <w:szCs w:val="14"/>
                <w:b w:val="1"/>
                <w:bCs w:val="1"/>
                <w:color w:val="auto"/>
              </w:rPr>
              <w:t>MVW</w:t>
            </w:r>
          </w:p>
        </w:tc>
        <w:tc>
          <w:tcPr>
            <w:tcW w:w="0" w:type="dxa"/>
            <w:vAlign w:val="bottom"/>
          </w:tcPr>
          <w:p>
            <w:pPr>
              <w:spacing w:after="0"/>
              <w:rPr>
                <w:sz w:val="1"/>
                <w:szCs w:val="1"/>
                <w:color w:val="auto"/>
              </w:rPr>
            </w:pPr>
          </w:p>
        </w:tc>
      </w:tr>
      <w:tr>
        <w:trPr>
          <w:trHeight w:val="48"/>
        </w:trPr>
        <w:tc>
          <w:tcPr>
            <w:tcW w:w="2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rPr>
              <w:t>MVWC</w:t>
            </w:r>
          </w:p>
        </w:tc>
        <w:tc>
          <w:tcPr>
            <w:tcW w:w="14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MORI</w:t>
            </w:r>
          </w:p>
        </w:tc>
        <w:tc>
          <w:tcPr>
            <w:tcW w:w="120" w:type="dxa"/>
            <w:vAlign w:val="bottom"/>
            <w:vMerge w:val="restart"/>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2"/>
              </w:rPr>
              <w:t>Guarantors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90"/>
              </w:rPr>
              <w:t>Eliminations</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5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70"/>
        </w:trPr>
        <w:tc>
          <w:tcPr>
            <w:tcW w:w="26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Benefit (provision) for income</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Equity in net (loss) income of</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(loss) income attributable to</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297</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shareholders</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contractual obligations, including material off-balance sheet arrangements as of December 31,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88"/>
              </w:rPr>
              <w:t>Less Than</w:t>
            </w:r>
          </w:p>
        </w:tc>
        <w:tc>
          <w:tcPr>
            <w:tcW w:w="2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1 - 3 Years</w:t>
            </w:r>
          </w:p>
        </w:tc>
        <w:tc>
          <w:tcPr>
            <w:tcW w:w="22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3 - 5 Years</w:t>
            </w:r>
          </w:p>
        </w:tc>
        <w:tc>
          <w:tcPr>
            <w:tcW w:w="200" w:type="dxa"/>
            <w:vAlign w:val="bottom"/>
          </w:tcPr>
          <w:p>
            <w:pPr>
              <w:spacing w:after="0"/>
              <w:rPr>
                <w:sz w:val="13"/>
                <w:szCs w:val="13"/>
                <w:color w:val="auto"/>
              </w:rPr>
            </w:pPr>
          </w:p>
        </w:tc>
        <w:tc>
          <w:tcPr>
            <w:tcW w:w="1180" w:type="dxa"/>
            <w:vAlign w:val="bottom"/>
          </w:tcPr>
          <w:p>
            <w:pPr>
              <w:jc w:val="right"/>
              <w:ind w:right="232"/>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5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1"/>
                <w:szCs w:val="21"/>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5" w:lineRule="exact"/>
        <w:rPr>
          <w:rFonts w:ascii="Arial" w:cs="Arial" w:eastAsia="Arial" w:hAnsi="Arial"/>
          <w:sz w:val="23"/>
          <w:szCs w:val="23"/>
          <w:color w:val="auto"/>
          <w:vertAlign w:val="superscript"/>
        </w:rPr>
      </w:pPr>
    </w:p>
    <w:p>
      <w:pPr>
        <w:ind w:left="660" w:right="360" w:hanging="652"/>
        <w:spacing w:after="0" w:line="260"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interest.</w:t>
      </w:r>
    </w:p>
    <w:p>
      <w:pPr>
        <w:spacing w:after="0" w:line="55" w:lineRule="exact"/>
        <w:rPr>
          <w:rFonts w:ascii="Arial" w:cs="Arial" w:eastAsia="Arial" w:hAnsi="Arial"/>
          <w:sz w:val="23"/>
          <w:szCs w:val="23"/>
          <w:color w:val="auto"/>
          <w:vertAlign w:val="superscript"/>
        </w:rPr>
      </w:pPr>
    </w:p>
    <w:p>
      <w:pPr>
        <w:ind w:left="660" w:right="660" w:hanging="652"/>
        <w:spacing w:after="0" w:line="219"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9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quarter of 2020, we entered into a finance lease arrangement for a new corporate office building in Orlando, Florida. The new Orlando corporate office building is currently expected to be completed in 2024, at which time the lease term will commence and a right-of-use asset and corresponding liability will be recorded on our balance sheet. The initial lease term is approximately 16 years with total lease payments of $129 million for the aforementioned period. See Footnote 15 “Leases” to our Financial Statements for additional information on this lease, including additional arrangements made as a result of the COVID-19 pandemic.</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See Footnote 2 “Summary of Significant Accounting Policies” to our Financial Statements for information regarding accounting standards adopted in 2020 and other new accounting standards that were issued but not effective as of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Footnote 2 “Summary of Significant Accounting Policies” to our Financial Statements for further information on accounting policies that we believe to be critical, including our policies on:</w:t>
      </w:r>
    </w:p>
    <w:p>
      <w:pPr>
        <w:spacing w:after="0" w:line="6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including how we recognize revenue 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w:t>
      </w:r>
    </w:p>
    <w:p>
      <w:pPr>
        <w:spacing w:after="0" w:line="62"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i w:val="1"/>
          <w:iCs w:val="1"/>
          <w:color w:val="auto"/>
        </w:rPr>
        <w:t>Purchase price allocations of business combinations</w:t>
      </w:r>
      <w:r>
        <w:rPr>
          <w:rFonts w:ascii="Arial" w:cs="Arial" w:eastAsia="Arial" w:hAnsi="Arial"/>
          <w:sz w:val="18"/>
          <w:szCs w:val="18"/>
          <w:color w:val="auto"/>
        </w:rPr>
        <w:t>, which is also discussed in Footnote 2 “Summary of Significant Accounting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Footnote 4 “Acquisitions and Dispositions” to our Financial Statements;</w:t>
      </w:r>
    </w:p>
    <w:p>
      <w:pPr>
        <w:spacing w:after="0" w:line="62"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i w:val="1"/>
          <w:iCs w:val="1"/>
          <w:color w:val="auto"/>
        </w:rPr>
        <w:t xml:space="preserve">Inventories and cost of vacation ownership products, </w:t>
      </w:r>
      <w:r>
        <w:rPr>
          <w:rFonts w:ascii="Arial" w:cs="Arial" w:eastAsia="Arial" w:hAnsi="Arial"/>
          <w:sz w:val="16"/>
          <w:szCs w:val="16"/>
          <w:color w:val="auto"/>
        </w:rPr>
        <w:t>which requires estimation of future revenues, including incremental revenues from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price 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4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Valuation of right-of-use assets and lease liabilities</w:t>
      </w:r>
      <w:r>
        <w:rPr>
          <w:rFonts w:ascii="Arial" w:cs="Arial" w:eastAsia="Arial" w:hAnsi="Arial"/>
          <w:sz w:val="18"/>
          <w:szCs w:val="18"/>
          <w:color w:val="auto"/>
        </w:rPr>
        <w:t>, including determination of lease term which may include options to extend or terminate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when it is reasonably certain that we will exercise that option, as further described in Footnote 2 “Summary of Significant Accounting Policies” to our Financial Statements;</w:t>
      </w:r>
    </w:p>
    <w:p>
      <w:pPr>
        <w:spacing w:after="0" w:line="76" w:lineRule="exact"/>
        <w:rPr>
          <w:sz w:val="20"/>
          <w:szCs w:val="20"/>
          <w:color w:val="auto"/>
        </w:rPr>
      </w:pPr>
    </w:p>
    <w:p>
      <w:pPr>
        <w:ind w:left="660" w:right="4100"/>
        <w:spacing w:after="0" w:line="422" w:lineRule="auto"/>
        <w:rPr>
          <w:sz w:val="20"/>
          <w:szCs w:val="20"/>
          <w:color w:val="auto"/>
        </w:rPr>
      </w:pPr>
      <w:r>
        <w:rPr>
          <w:rFonts w:ascii="Arial" w:cs="Arial" w:eastAsia="Arial" w:hAnsi="Arial"/>
          <w:sz w:val="16"/>
          <w:szCs w:val="16"/>
          <w:i w:val="1"/>
          <w:iCs w:val="1"/>
          <w:color w:val="auto"/>
        </w:rPr>
        <w:t>Valuation of property and equipment</w:t>
      </w:r>
      <w:r>
        <w:rPr>
          <w:rFonts w:ascii="Arial" w:cs="Arial" w:eastAsia="Arial" w:hAnsi="Arial"/>
          <w:sz w:val="16"/>
          <w:szCs w:val="16"/>
          <w:color w:val="auto"/>
        </w:rPr>
        <w:t>, including when we record impairment losses;</w:t>
      </w:r>
      <w:r>
        <w:rPr>
          <w:rFonts w:ascii="Arial" w:cs="Arial" w:eastAsia="Arial" w:hAnsi="Arial"/>
          <w:sz w:val="16"/>
          <w:szCs w:val="16"/>
          <w:i w:val="1"/>
          <w:iCs w:val="1"/>
          <w:color w:val="auto"/>
        </w:rPr>
        <w:t xml:space="preserve"> Valuation of goodwill and intangible assets</w:t>
      </w:r>
      <w:r>
        <w:rPr>
          <w:rFonts w:ascii="Arial" w:cs="Arial" w:eastAsia="Arial" w:hAnsi="Arial"/>
          <w:sz w:val="16"/>
          <w:szCs w:val="16"/>
          <w:color w:val="auto"/>
        </w:rPr>
        <w:t>, including when we record impairment losses;</w:t>
      </w:r>
    </w:p>
    <w:p>
      <w:pPr>
        <w:spacing w:after="0" w:line="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Accounting for acquired vacation ownership notes receivable</w:t>
      </w:r>
      <w:r>
        <w:rPr>
          <w:rFonts w:ascii="Arial" w:cs="Arial" w:eastAsia="Arial" w:hAnsi="Arial"/>
          <w:sz w:val="18"/>
          <w:szCs w:val="18"/>
          <w:color w:val="auto"/>
        </w:rPr>
        <w:t>, which is also discussed in Footnote 7 “Vacation Ownership Notes Receivable” to</w:t>
      </w:r>
      <w:r>
        <w:rPr>
          <w:rFonts w:ascii="Arial" w:cs="Arial" w:eastAsia="Arial" w:hAnsi="Arial"/>
          <w:sz w:val="18"/>
          <w:szCs w:val="18"/>
          <w:i w:val="1"/>
          <w:iCs w:val="1"/>
          <w:color w:val="auto"/>
        </w:rPr>
        <w:t xml:space="preserve"> </w:t>
      </w:r>
      <w:r>
        <w:rPr>
          <w:rFonts w:ascii="Arial" w:cs="Arial" w:eastAsia="Arial" w:hAnsi="Arial"/>
          <w:sz w:val="18"/>
          <w:szCs w:val="18"/>
          <w:color w:val="auto"/>
        </w:rPr>
        <w:t>our Financial Statements;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and</w:t>
      </w:r>
    </w:p>
    <w:p>
      <w:pPr>
        <w:spacing w:after="0" w:line="1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6" w:name="page67"/>
    <w:bookmarkEnd w:id="66"/>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notes receivable and our fixed-rate debt.</w:t>
      </w:r>
    </w:p>
    <w:p>
      <w:pPr>
        <w:spacing w:after="0" w:line="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2020 for our financial instruments that are impacted by market risks: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Maturities by Period</w:t>
            </w: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1840" w:type="dxa"/>
            <w:vAlign w:val="bottom"/>
          </w:tcPr>
          <w:p>
            <w:pPr>
              <w:jc w:val="center"/>
              <w:ind w:left="828"/>
              <w:spacing w:after="0"/>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Thereafter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tcPr>
          <w:p>
            <w:pPr>
              <w:jc w:val="center"/>
              <w:ind w:left="808"/>
              <w:spacing w:after="0" w:line="135" w:lineRule="exact"/>
              <w:rPr>
                <w:sz w:val="20"/>
                <w:szCs w:val="20"/>
                <w:color w:val="auto"/>
              </w:rPr>
            </w:pPr>
            <w:r>
              <w:rPr>
                <w:rFonts w:ascii="Arial" w:cs="Arial" w:eastAsia="Arial" w:hAnsi="Arial"/>
                <w:sz w:val="14"/>
                <w:szCs w:val="14"/>
                <w:b w:val="1"/>
                <w:bCs w:val="1"/>
                <w:color w:val="auto"/>
                <w:w w:val="94"/>
              </w:rPr>
              <w:t>Interest</w:t>
            </w: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Carrying</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1940" w:type="dxa"/>
            <w:vAlign w:val="bottom"/>
            <w:vMerge w:val="continue"/>
          </w:tcPr>
          <w:p>
            <w:pPr>
              <w:spacing w:after="0"/>
              <w:rPr>
                <w:sz w:val="16"/>
                <w:szCs w:val="16"/>
                <w:color w:val="auto"/>
              </w:rPr>
            </w:pPr>
          </w:p>
        </w:tc>
        <w:tc>
          <w:tcPr>
            <w:tcW w:w="1840" w:type="dxa"/>
            <w:vAlign w:val="bottom"/>
          </w:tcPr>
          <w:p>
            <w:pPr>
              <w:jc w:val="center"/>
              <w:ind w:left="808"/>
              <w:spacing w:after="0"/>
              <w:rPr>
                <w:sz w:val="20"/>
                <w:szCs w:val="20"/>
                <w:color w:val="auto"/>
              </w:rPr>
            </w:pPr>
            <w:r>
              <w:rPr>
                <w:rFonts w:ascii="Arial" w:cs="Arial" w:eastAsia="Arial" w:hAnsi="Arial"/>
                <w:sz w:val="14"/>
                <w:szCs w:val="14"/>
                <w:b w:val="1"/>
                <w:bCs w:val="1"/>
                <w:color w:val="auto"/>
                <w:w w:val="92"/>
              </w:rPr>
              <w:t>Rate</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Assets – Maturities represent expected principal receipts; fair values represent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Vacation ownership notes receivable — non-securitized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Vacation ownership notes receivable — securitized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jc w:val="right"/>
              <w:ind w:right="59"/>
              <w:spacing w:after="0"/>
              <w:rPr>
                <w:sz w:val="20"/>
                <w:szCs w:val="20"/>
                <w:color w:val="auto"/>
              </w:rPr>
            </w:pPr>
            <w:r>
              <w:rPr>
                <w:rFonts w:ascii="Arial" w:cs="Arial" w:eastAsia="Arial" w:hAnsi="Arial"/>
                <w:sz w:val="16"/>
                <w:szCs w:val="16"/>
                <w:color w:val="auto"/>
                <w:w w:val="88"/>
              </w:rPr>
              <w:t>12.7%</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378"/>
        </w:trPr>
        <w:tc>
          <w:tcPr>
            <w:tcW w:w="560" w:type="dxa"/>
            <w:vAlign w:val="bottom"/>
          </w:tcPr>
          <w:p>
            <w:pPr>
              <w:jc w:val="right"/>
              <w:ind w:right="59"/>
              <w:spacing w:after="0"/>
              <w:rPr>
                <w:sz w:val="20"/>
                <w:szCs w:val="20"/>
                <w:color w:val="auto"/>
              </w:rPr>
            </w:pPr>
            <w:r>
              <w:rPr>
                <w:rFonts w:ascii="Arial" w:cs="Arial" w:eastAsia="Arial" w:hAnsi="Arial"/>
                <w:sz w:val="16"/>
                <w:szCs w:val="16"/>
                <w:color w:val="auto"/>
                <w:w w:val="88"/>
              </w:rPr>
              <w:t>12.9%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-184150</wp:posOffset>
            </wp:positionV>
            <wp:extent cx="706374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3740"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00" w:space="520"/>
            <w:col w:w="8020"/>
          </w:cols>
          <w:pgMar w:left="320" w:top="1107" w:right="4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820" w:type="dxa"/>
            <w:vAlign w:val="bottom"/>
            <w:gridSpan w:val="9"/>
          </w:tcPr>
          <w:p>
            <w:pPr>
              <w:ind w:left="220"/>
              <w:spacing w:after="0"/>
              <w:rPr>
                <w:sz w:val="20"/>
                <w:szCs w:val="20"/>
                <w:color w:val="auto"/>
              </w:rPr>
            </w:pPr>
            <w:r>
              <w:rPr>
                <w:rFonts w:ascii="Arial" w:cs="Arial" w:eastAsia="Arial" w:hAnsi="Arial"/>
                <w:sz w:val="16"/>
                <w:szCs w:val="16"/>
                <w:b w:val="1"/>
                <w:bCs w:val="1"/>
                <w:color w:val="auto"/>
                <w:w w:val="92"/>
              </w:rPr>
              <w:t>Liabilities – Maturities represent expected principal payments; fair values represent liabilities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Securitized debt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Notes</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Senior unsecured notes</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2026 Notes</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13"/>
        </w:trPr>
        <w:tc>
          <w:tcPr>
            <w:tcW w:w="2360" w:type="dxa"/>
            <w:vAlign w:val="bottom"/>
          </w:tcPr>
          <w:p>
            <w:pPr>
              <w:ind w:left="220"/>
              <w:spacing w:after="0"/>
              <w:rPr>
                <w:sz w:val="20"/>
                <w:szCs w:val="20"/>
                <w:color w:val="auto"/>
              </w:rPr>
            </w:pPr>
            <w:r>
              <w:rPr>
                <w:rFonts w:ascii="Arial" w:cs="Arial" w:eastAsia="Arial" w:hAnsi="Arial"/>
                <w:sz w:val="16"/>
                <w:szCs w:val="16"/>
                <w:color w:val="auto"/>
              </w:rPr>
              <w:t>2028 Notes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10"/>
        </w:trPr>
        <w:tc>
          <w:tcPr>
            <w:tcW w:w="2360" w:type="dxa"/>
            <w:vAlign w:val="bottom"/>
          </w:tcPr>
          <w:p>
            <w:pPr>
              <w:ind w:left="20"/>
              <w:spacing w:after="0"/>
              <w:rPr>
                <w:sz w:val="20"/>
                <w:szCs w:val="20"/>
                <w:color w:val="auto"/>
              </w:rPr>
            </w:pPr>
            <w:r>
              <w:rPr>
                <w:rFonts w:ascii="Arial" w:cs="Arial" w:eastAsia="Arial" w:hAnsi="Arial"/>
                <w:sz w:val="16"/>
                <w:szCs w:val="16"/>
                <w:color w:val="auto"/>
              </w:rPr>
              <w:t>2022 Convertible Notes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(262)</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currency exchange rate risk through investments in foreign subsidiaries that transact business in a currency other than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and through the revaluation of assets and liabilities denominated in a currency other than the functional currency.</w:t>
      </w:r>
    </w:p>
    <w:p>
      <w:pPr>
        <w:spacing w:after="0" w:line="1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Supplementary Data</w:t>
            </w:r>
          </w:p>
        </w:tc>
        <w:tc>
          <w:tcPr>
            <w:tcW w:w="780" w:type="dxa"/>
            <w:vAlign w:val="bottom"/>
          </w:tcPr>
          <w:p>
            <w:pPr>
              <w:spacing w:after="0"/>
              <w:rPr>
                <w:sz w:val="20"/>
                <w:szCs w:val="20"/>
                <w:color w:val="auto"/>
              </w:rPr>
            </w:pPr>
          </w:p>
        </w:tc>
      </w:tr>
      <w:tr>
        <w:trPr>
          <w:trHeight w:val="324"/>
        </w:trPr>
        <w:tc>
          <w:tcPr>
            <w:tcW w:w="10440" w:type="dxa"/>
            <w:vAlign w:val="bottom"/>
            <w:gridSpan w:val="4"/>
          </w:tcPr>
          <w:p>
            <w:pPr>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780" w:type="dxa"/>
            <w:vAlign w:val="bottom"/>
          </w:tcPr>
          <w:p>
            <w:pPr>
              <w:spacing w:after="0"/>
              <w:rPr>
                <w:sz w:val="24"/>
                <w:szCs w:val="24"/>
                <w:color w:val="auto"/>
              </w:rPr>
            </w:pPr>
          </w:p>
        </w:tc>
      </w:tr>
      <w:tr>
        <w:trPr>
          <w:trHeight w:val="332"/>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228"/>
        </w:trPr>
        <w:tc>
          <w:tcPr>
            <w:tcW w:w="10440" w:type="dxa"/>
            <w:vAlign w:val="bottom"/>
            <w:gridSpan w:val="4"/>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Financial Statements and Supplementary Data</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66</w:t>
              </w:r>
            </w:hyperlink>
          </w:p>
        </w:tc>
      </w:tr>
      <w:tr>
        <w:trPr>
          <w:trHeight w:val="229"/>
        </w:trPr>
        <w:tc>
          <w:tcPr>
            <w:tcW w:w="10440" w:type="dxa"/>
            <w:vAlign w:val="bottom"/>
            <w:gridSpan w:val="4"/>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Management’s Report on Internal Control Over Financial Reporting</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8">
              <w:r>
                <w:rPr>
                  <w:rFonts w:ascii="Arial" w:cs="Arial" w:eastAsia="Arial" w:hAnsi="Arial"/>
                  <w:sz w:val="18"/>
                  <w:szCs w:val="18"/>
                  <w:u w:val="single" w:color="auto"/>
                  <w:color w:val="0000FF"/>
                  <w:w w:val="89"/>
                </w:rPr>
                <w:t>67</w:t>
              </w:r>
            </w:hyperlink>
          </w:p>
        </w:tc>
      </w:tr>
      <w:tr>
        <w:trPr>
          <w:trHeight w:val="229"/>
        </w:trPr>
        <w:tc>
          <w:tcPr>
            <w:tcW w:w="10440" w:type="dxa"/>
            <w:vAlign w:val="bottom"/>
            <w:gridSpan w:val="4"/>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Report of Independent Registered Public Accounting Firm - Internal Control Over Financial Reporting</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68</w:t>
              </w:r>
            </w:hyperlink>
          </w:p>
        </w:tc>
      </w:tr>
      <w:tr>
        <w:trPr>
          <w:trHeight w:val="230"/>
        </w:trPr>
        <w:tc>
          <w:tcPr>
            <w:tcW w:w="10440" w:type="dxa"/>
            <w:vAlign w:val="bottom"/>
            <w:gridSpan w:val="4"/>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Report of Independent Registered Public Accounting Firm - Financial Statements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69</w:t>
              </w:r>
            </w:hyperlink>
          </w:p>
        </w:tc>
      </w:tr>
      <w:tr>
        <w:trPr>
          <w:trHeight w:val="229"/>
        </w:trPr>
        <w:tc>
          <w:tcPr>
            <w:tcW w:w="10440" w:type="dxa"/>
            <w:vAlign w:val="bottom"/>
            <w:gridSpan w:val="4"/>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Financial Statements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r>
      <w:tr>
        <w:trPr>
          <w:trHeight w:val="230"/>
        </w:trPr>
        <w:tc>
          <w:tcPr>
            <w:tcW w:w="10440" w:type="dxa"/>
            <w:vAlign w:val="bottom"/>
            <w:gridSpan w:val="4"/>
          </w:tcPr>
          <w:p>
            <w:pPr>
              <w:ind w:left="2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Consolidated Statements of Income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r>
      <w:tr>
        <w:trPr>
          <w:trHeight w:val="229"/>
        </w:trPr>
        <w:tc>
          <w:tcPr>
            <w:tcW w:w="10440" w:type="dxa"/>
            <w:vAlign w:val="bottom"/>
            <w:gridSpan w:val="4"/>
          </w:tcPr>
          <w:p>
            <w:pPr>
              <w:ind w:left="2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Statements of Comprehensive Income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73</w:t>
              </w:r>
            </w:hyperlink>
          </w:p>
        </w:tc>
      </w:tr>
      <w:tr>
        <w:trPr>
          <w:trHeight w:val="229"/>
        </w:trPr>
        <w:tc>
          <w:tcPr>
            <w:tcW w:w="10440" w:type="dxa"/>
            <w:vAlign w:val="bottom"/>
            <w:gridSpan w:val="4"/>
          </w:tcPr>
          <w:p>
            <w:pPr>
              <w:ind w:left="2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Balance Sheets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74</w:t>
              </w:r>
            </w:hyperlink>
          </w:p>
        </w:tc>
      </w:tr>
      <w:tr>
        <w:trPr>
          <w:trHeight w:val="230"/>
        </w:trPr>
        <w:tc>
          <w:tcPr>
            <w:tcW w:w="10440" w:type="dxa"/>
            <w:vAlign w:val="bottom"/>
            <w:gridSpan w:val="4"/>
          </w:tcPr>
          <w:p>
            <w:pPr>
              <w:ind w:left="2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Cash Flows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75</w:t>
              </w:r>
            </w:hyperlink>
          </w:p>
        </w:tc>
      </w:tr>
      <w:tr>
        <w:trPr>
          <w:trHeight w:val="229"/>
        </w:trPr>
        <w:tc>
          <w:tcPr>
            <w:tcW w:w="10440" w:type="dxa"/>
            <w:vAlign w:val="bottom"/>
            <w:gridSpan w:val="4"/>
          </w:tcPr>
          <w:p>
            <w:pPr>
              <w:ind w:left="2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Shareholders’ Equity</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77</w:t>
              </w:r>
            </w:hyperlink>
          </w:p>
        </w:tc>
      </w:tr>
      <w:tr>
        <w:trPr>
          <w:trHeight w:val="229"/>
        </w:trPr>
        <w:tc>
          <w:tcPr>
            <w:tcW w:w="10440" w:type="dxa"/>
            <w:vAlign w:val="bottom"/>
            <w:gridSpan w:val="4"/>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78</w:t>
              </w:r>
            </w:hyperlink>
          </w:p>
        </w:tc>
      </w:tr>
      <w:tr>
        <w:trPr>
          <w:trHeight w:val="230"/>
        </w:trPr>
        <w:tc>
          <w:tcPr>
            <w:tcW w:w="380" w:type="dxa"/>
            <w:vAlign w:val="bottom"/>
          </w:tcPr>
          <w:p>
            <w:pPr>
              <w:ind w:left="220"/>
              <w:spacing w:after="0"/>
              <w:rPr>
                <w:rFonts w:ascii="Arial" w:cs="Arial" w:eastAsia="Arial" w:hAnsi="Arial"/>
                <w:sz w:val="18"/>
                <w:szCs w:val="18"/>
                <w:u w:val="single" w:color="auto"/>
                <w:color w:val="0000FF"/>
                <w:w w:val="92"/>
              </w:rPr>
            </w:pPr>
            <w:hyperlink w:anchor="page80">
              <w:r>
                <w:rPr>
                  <w:rFonts w:ascii="Arial" w:cs="Arial" w:eastAsia="Arial" w:hAnsi="Arial"/>
                  <w:sz w:val="18"/>
                  <w:szCs w:val="18"/>
                  <w:u w:val="single" w:color="auto"/>
                  <w:color w:val="0000FF"/>
                  <w:w w:val="92"/>
                </w:rPr>
                <w:t>1.</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Basis of Presentation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78</w:t>
              </w:r>
            </w:hyperlink>
          </w:p>
        </w:tc>
      </w:tr>
      <w:tr>
        <w:trPr>
          <w:trHeight w:val="229"/>
        </w:trPr>
        <w:tc>
          <w:tcPr>
            <w:tcW w:w="380" w:type="dxa"/>
            <w:vAlign w:val="bottom"/>
          </w:tcPr>
          <w:p>
            <w:pPr>
              <w:ind w:left="220"/>
              <w:spacing w:after="0"/>
              <w:rPr>
                <w:rFonts w:ascii="Arial" w:cs="Arial" w:eastAsia="Arial" w:hAnsi="Arial"/>
                <w:sz w:val="18"/>
                <w:szCs w:val="18"/>
                <w:u w:val="single" w:color="auto"/>
                <w:color w:val="0000FF"/>
                <w:w w:val="92"/>
              </w:rPr>
            </w:pPr>
            <w:hyperlink w:anchor="page81">
              <w:r>
                <w:rPr>
                  <w:rFonts w:ascii="Arial" w:cs="Arial" w:eastAsia="Arial" w:hAnsi="Arial"/>
                  <w:sz w:val="18"/>
                  <w:szCs w:val="18"/>
                  <w:u w:val="single" w:color="auto"/>
                  <w:color w:val="0000FF"/>
                  <w:w w:val="92"/>
                </w:rPr>
                <w:t>2.</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Summary of Significant Accounting Policies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81">
              <w:r>
                <w:rPr>
                  <w:rFonts w:ascii="Arial" w:cs="Arial" w:eastAsia="Arial" w:hAnsi="Arial"/>
                  <w:sz w:val="18"/>
                  <w:szCs w:val="18"/>
                  <w:u w:val="single" w:color="auto"/>
                  <w:color w:val="0000FF"/>
                  <w:w w:val="89"/>
                </w:rPr>
                <w:t>79</w:t>
              </w:r>
            </w:hyperlink>
          </w:p>
        </w:tc>
      </w:tr>
      <w:tr>
        <w:trPr>
          <w:trHeight w:val="230"/>
        </w:trPr>
        <w:tc>
          <w:tcPr>
            <w:tcW w:w="380" w:type="dxa"/>
            <w:vAlign w:val="bottom"/>
          </w:tcPr>
          <w:p>
            <w:pPr>
              <w:ind w:left="220"/>
              <w:spacing w:after="0"/>
              <w:rPr>
                <w:rFonts w:ascii="Arial" w:cs="Arial" w:eastAsia="Arial" w:hAnsi="Arial"/>
                <w:sz w:val="18"/>
                <w:szCs w:val="18"/>
                <w:u w:val="single" w:color="auto"/>
                <w:color w:val="0000FF"/>
                <w:w w:val="92"/>
              </w:rPr>
            </w:pPr>
            <w:hyperlink w:anchor="page92">
              <w:r>
                <w:rPr>
                  <w:rFonts w:ascii="Arial" w:cs="Arial" w:eastAsia="Arial" w:hAnsi="Arial"/>
                  <w:sz w:val="18"/>
                  <w:szCs w:val="18"/>
                  <w:u w:val="single" w:color="auto"/>
                  <w:color w:val="0000FF"/>
                  <w:w w:val="92"/>
                </w:rPr>
                <w:t>3.</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Restructuring Charges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91</w:t>
              </w:r>
            </w:hyperlink>
          </w:p>
        </w:tc>
      </w:tr>
      <w:tr>
        <w:trPr>
          <w:trHeight w:val="229"/>
        </w:trPr>
        <w:tc>
          <w:tcPr>
            <w:tcW w:w="380" w:type="dxa"/>
            <w:vAlign w:val="bottom"/>
          </w:tcPr>
          <w:p>
            <w:pPr>
              <w:ind w:left="220"/>
              <w:spacing w:after="0"/>
              <w:rPr>
                <w:rFonts w:ascii="Arial" w:cs="Arial" w:eastAsia="Arial" w:hAnsi="Arial"/>
                <w:sz w:val="18"/>
                <w:szCs w:val="18"/>
                <w:u w:val="single" w:color="auto"/>
                <w:color w:val="0000FF"/>
                <w:w w:val="92"/>
              </w:rPr>
            </w:pPr>
            <w:hyperlink w:anchor="page93">
              <w:r>
                <w:rPr>
                  <w:rFonts w:ascii="Arial" w:cs="Arial" w:eastAsia="Arial" w:hAnsi="Arial"/>
                  <w:sz w:val="18"/>
                  <w:szCs w:val="18"/>
                  <w:u w:val="single" w:color="auto"/>
                  <w:color w:val="0000FF"/>
                  <w:w w:val="92"/>
                </w:rPr>
                <w:t>4.</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Acquisitions and Dispositions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91</w:t>
              </w:r>
            </w:hyperlink>
          </w:p>
        </w:tc>
      </w:tr>
      <w:tr>
        <w:trPr>
          <w:trHeight w:val="229"/>
        </w:trPr>
        <w:tc>
          <w:tcPr>
            <w:tcW w:w="380" w:type="dxa"/>
            <w:vAlign w:val="bottom"/>
          </w:tcPr>
          <w:p>
            <w:pPr>
              <w:ind w:left="220"/>
              <w:spacing w:after="0"/>
              <w:rPr>
                <w:rFonts w:ascii="Arial" w:cs="Arial" w:eastAsia="Arial" w:hAnsi="Arial"/>
                <w:sz w:val="18"/>
                <w:szCs w:val="18"/>
                <w:u w:val="single" w:color="auto"/>
                <w:color w:val="0000FF"/>
                <w:w w:val="92"/>
              </w:rPr>
            </w:pPr>
            <w:hyperlink w:anchor="page96">
              <w:r>
                <w:rPr>
                  <w:rFonts w:ascii="Arial" w:cs="Arial" w:eastAsia="Arial" w:hAnsi="Arial"/>
                  <w:sz w:val="18"/>
                  <w:szCs w:val="18"/>
                  <w:u w:val="single" w:color="auto"/>
                  <w:color w:val="0000FF"/>
                  <w:w w:val="92"/>
                </w:rPr>
                <w:t>5.</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Revenue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96">
              <w:r>
                <w:rPr>
                  <w:rFonts w:ascii="Arial" w:cs="Arial" w:eastAsia="Arial" w:hAnsi="Arial"/>
                  <w:sz w:val="18"/>
                  <w:szCs w:val="18"/>
                  <w:u w:val="single" w:color="auto"/>
                  <w:color w:val="0000FF"/>
                  <w:w w:val="89"/>
                </w:rPr>
                <w:t>95</w:t>
              </w:r>
            </w:hyperlink>
          </w:p>
        </w:tc>
      </w:tr>
      <w:tr>
        <w:trPr>
          <w:trHeight w:val="230"/>
        </w:trPr>
        <w:tc>
          <w:tcPr>
            <w:tcW w:w="380" w:type="dxa"/>
            <w:vAlign w:val="bottom"/>
          </w:tcPr>
          <w:p>
            <w:pPr>
              <w:ind w:left="220"/>
              <w:spacing w:after="0"/>
              <w:rPr>
                <w:rFonts w:ascii="Arial" w:cs="Arial" w:eastAsia="Arial" w:hAnsi="Arial"/>
                <w:sz w:val="18"/>
                <w:szCs w:val="18"/>
                <w:u w:val="single" w:color="auto"/>
                <w:color w:val="0000FF"/>
                <w:w w:val="92"/>
              </w:rPr>
            </w:pPr>
            <w:hyperlink w:anchor="page99">
              <w:r>
                <w:rPr>
                  <w:rFonts w:ascii="Arial" w:cs="Arial" w:eastAsia="Arial" w:hAnsi="Arial"/>
                  <w:sz w:val="18"/>
                  <w:szCs w:val="18"/>
                  <w:u w:val="single" w:color="auto"/>
                  <w:color w:val="0000FF"/>
                  <w:w w:val="92"/>
                </w:rPr>
                <w:t>6.</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Income Taxes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98</w:t>
              </w:r>
            </w:hyperlink>
          </w:p>
        </w:tc>
      </w:tr>
      <w:tr>
        <w:trPr>
          <w:trHeight w:val="229"/>
        </w:trPr>
        <w:tc>
          <w:tcPr>
            <w:tcW w:w="380" w:type="dxa"/>
            <w:vAlign w:val="bottom"/>
          </w:tcPr>
          <w:p>
            <w:pPr>
              <w:ind w:left="220"/>
              <w:spacing w:after="0"/>
              <w:rPr>
                <w:rFonts w:ascii="Arial" w:cs="Arial" w:eastAsia="Arial" w:hAnsi="Arial"/>
                <w:sz w:val="18"/>
                <w:szCs w:val="18"/>
                <w:u w:val="single" w:color="auto"/>
                <w:color w:val="0000FF"/>
                <w:w w:val="92"/>
              </w:rPr>
            </w:pPr>
            <w:hyperlink w:anchor="page102">
              <w:r>
                <w:rPr>
                  <w:rFonts w:ascii="Arial" w:cs="Arial" w:eastAsia="Arial" w:hAnsi="Arial"/>
                  <w:sz w:val="18"/>
                  <w:szCs w:val="18"/>
                  <w:u w:val="single" w:color="auto"/>
                  <w:color w:val="0000FF"/>
                  <w:w w:val="92"/>
                </w:rPr>
                <w:t>7.</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Vacation Ownership Notes Receivable</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02">
              <w:r>
                <w:rPr>
                  <w:rFonts w:ascii="Arial" w:cs="Arial" w:eastAsia="Arial" w:hAnsi="Arial"/>
                  <w:sz w:val="18"/>
                  <w:szCs w:val="18"/>
                  <w:u w:val="single" w:color="auto"/>
                  <w:color w:val="0000FF"/>
                  <w:w w:val="86"/>
                </w:rPr>
                <w:t>101</w:t>
              </w:r>
            </w:hyperlink>
          </w:p>
        </w:tc>
      </w:tr>
      <w:tr>
        <w:trPr>
          <w:trHeight w:val="229"/>
        </w:trPr>
        <w:tc>
          <w:tcPr>
            <w:tcW w:w="380" w:type="dxa"/>
            <w:vAlign w:val="bottom"/>
          </w:tcPr>
          <w:p>
            <w:pPr>
              <w:ind w:left="220"/>
              <w:spacing w:after="0"/>
              <w:rPr>
                <w:rFonts w:ascii="Arial" w:cs="Arial" w:eastAsia="Arial" w:hAnsi="Arial"/>
                <w:sz w:val="18"/>
                <w:szCs w:val="18"/>
                <w:u w:val="single" w:color="auto"/>
                <w:color w:val="0000FF"/>
                <w:w w:val="92"/>
              </w:rPr>
            </w:pPr>
            <w:hyperlink w:anchor="page109">
              <w:r>
                <w:rPr>
                  <w:rFonts w:ascii="Arial" w:cs="Arial" w:eastAsia="Arial" w:hAnsi="Arial"/>
                  <w:sz w:val="18"/>
                  <w:szCs w:val="18"/>
                  <w:u w:val="single" w:color="auto"/>
                  <w:color w:val="0000FF"/>
                  <w:w w:val="92"/>
                </w:rPr>
                <w:t>8.</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Financial Instruments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107</w:t>
              </w:r>
            </w:hyperlink>
          </w:p>
        </w:tc>
      </w:tr>
      <w:tr>
        <w:trPr>
          <w:trHeight w:val="230"/>
        </w:trPr>
        <w:tc>
          <w:tcPr>
            <w:tcW w:w="380" w:type="dxa"/>
            <w:vAlign w:val="bottom"/>
          </w:tcPr>
          <w:p>
            <w:pPr>
              <w:ind w:left="220"/>
              <w:spacing w:after="0"/>
              <w:rPr>
                <w:rFonts w:ascii="Arial" w:cs="Arial" w:eastAsia="Arial" w:hAnsi="Arial"/>
                <w:sz w:val="18"/>
                <w:szCs w:val="18"/>
                <w:u w:val="single" w:color="auto"/>
                <w:color w:val="0000FF"/>
                <w:w w:val="92"/>
              </w:rPr>
            </w:pPr>
            <w:hyperlink w:anchor="page110">
              <w:r>
                <w:rPr>
                  <w:rFonts w:ascii="Arial" w:cs="Arial" w:eastAsia="Arial" w:hAnsi="Arial"/>
                  <w:sz w:val="18"/>
                  <w:szCs w:val="18"/>
                  <w:u w:val="single" w:color="auto"/>
                  <w:color w:val="0000FF"/>
                  <w:w w:val="92"/>
                </w:rPr>
                <w:t>9.</w:t>
              </w:r>
            </w:hyperlink>
          </w:p>
        </w:tc>
        <w:tc>
          <w:tcPr>
            <w:tcW w:w="10060" w:type="dxa"/>
            <w:vAlign w:val="bottom"/>
            <w:gridSpan w:val="3"/>
          </w:tcPr>
          <w:p>
            <w:pPr>
              <w:ind w:left="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Earnings per Share</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0">
              <w:r>
                <w:rPr>
                  <w:rFonts w:ascii="Arial" w:cs="Arial" w:eastAsia="Arial" w:hAnsi="Arial"/>
                  <w:sz w:val="18"/>
                  <w:szCs w:val="18"/>
                  <w:u w:val="single" w:color="auto"/>
                  <w:color w:val="0000FF"/>
                  <w:w w:val="86"/>
                </w:rPr>
                <w:t>109</w:t>
              </w:r>
            </w:hyperlink>
          </w:p>
        </w:tc>
      </w:tr>
      <w:tr>
        <w:trPr>
          <w:trHeight w:val="229"/>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2">
              <w:r>
                <w:rPr>
                  <w:rFonts w:ascii="Arial" w:cs="Arial" w:eastAsia="Arial" w:hAnsi="Arial"/>
                  <w:sz w:val="18"/>
                  <w:szCs w:val="18"/>
                  <w:u w:val="single" w:color="auto"/>
                  <w:color w:val="0000FF"/>
                  <w:w w:val="95"/>
                </w:rPr>
                <w:t>10.</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Inventory</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110</w:t>
              </w:r>
            </w:hyperlink>
          </w:p>
        </w:tc>
      </w:tr>
      <w:tr>
        <w:trPr>
          <w:trHeight w:val="230"/>
        </w:trPr>
        <w:tc>
          <w:tcPr>
            <w:tcW w:w="10440" w:type="dxa"/>
            <w:vAlign w:val="bottom"/>
            <w:gridSpan w:val="4"/>
          </w:tcPr>
          <w:p>
            <w:pPr>
              <w:ind w:left="2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 Property and Equipment</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110</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2">
              <w:r>
                <w:rPr>
                  <w:rFonts w:ascii="Arial" w:cs="Arial" w:eastAsia="Arial" w:hAnsi="Arial"/>
                  <w:sz w:val="18"/>
                  <w:szCs w:val="18"/>
                  <w:u w:val="single" w:color="auto"/>
                  <w:color w:val="0000FF"/>
                  <w:w w:val="95"/>
                </w:rPr>
                <w:t>12.</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Goodwill and Intangibles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111</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4">
              <w:r>
                <w:rPr>
                  <w:rFonts w:ascii="Arial" w:cs="Arial" w:eastAsia="Arial" w:hAnsi="Arial"/>
                  <w:sz w:val="18"/>
                  <w:szCs w:val="18"/>
                  <w:u w:val="single" w:color="auto"/>
                  <w:color w:val="0000FF"/>
                  <w:w w:val="95"/>
                </w:rPr>
                <w:t>13.</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Intangibles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4">
              <w:r>
                <w:rPr>
                  <w:rFonts w:ascii="Arial" w:cs="Arial" w:eastAsia="Arial" w:hAnsi="Arial"/>
                  <w:sz w:val="18"/>
                  <w:szCs w:val="18"/>
                  <w:u w:val="single" w:color="auto"/>
                  <w:color w:val="0000FF"/>
                  <w:w w:val="86"/>
                </w:rPr>
                <w:t>112</w:t>
              </w:r>
            </w:hyperlink>
          </w:p>
        </w:tc>
      </w:tr>
      <w:tr>
        <w:trPr>
          <w:trHeight w:val="229"/>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4">
              <w:r>
                <w:rPr>
                  <w:rFonts w:ascii="Arial" w:cs="Arial" w:eastAsia="Arial" w:hAnsi="Arial"/>
                  <w:sz w:val="18"/>
                  <w:szCs w:val="18"/>
                  <w:u w:val="single" w:color="auto"/>
                  <w:color w:val="0000FF"/>
                  <w:w w:val="95"/>
                </w:rPr>
                <w:t>14.</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Contingencies and Commitments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4">
              <w:r>
                <w:rPr>
                  <w:rFonts w:ascii="Arial" w:cs="Arial" w:eastAsia="Arial" w:hAnsi="Arial"/>
                  <w:sz w:val="18"/>
                  <w:szCs w:val="18"/>
                  <w:u w:val="single" w:color="auto"/>
                  <w:color w:val="0000FF"/>
                  <w:w w:val="86"/>
                </w:rPr>
                <w:t>112</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6">
              <w:r>
                <w:rPr>
                  <w:rFonts w:ascii="Arial" w:cs="Arial" w:eastAsia="Arial" w:hAnsi="Arial"/>
                  <w:sz w:val="18"/>
                  <w:szCs w:val="18"/>
                  <w:u w:val="single" w:color="auto"/>
                  <w:color w:val="0000FF"/>
                  <w:w w:val="95"/>
                </w:rPr>
                <w:t>15.</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Leases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6">
              <w:r>
                <w:rPr>
                  <w:rFonts w:ascii="Arial" w:cs="Arial" w:eastAsia="Arial" w:hAnsi="Arial"/>
                  <w:sz w:val="18"/>
                  <w:szCs w:val="18"/>
                  <w:u w:val="single" w:color="auto"/>
                  <w:color w:val="0000FF"/>
                  <w:w w:val="86"/>
                </w:rPr>
                <w:t>114</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7">
              <w:r>
                <w:rPr>
                  <w:rFonts w:ascii="Arial" w:cs="Arial" w:eastAsia="Arial" w:hAnsi="Arial"/>
                  <w:sz w:val="18"/>
                  <w:szCs w:val="18"/>
                  <w:u w:val="single" w:color="auto"/>
                  <w:color w:val="0000FF"/>
                  <w:w w:val="95"/>
                </w:rPr>
                <w:t>16.</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Securitized Debt</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7">
              <w:r>
                <w:rPr>
                  <w:rFonts w:ascii="Arial" w:cs="Arial" w:eastAsia="Arial" w:hAnsi="Arial"/>
                  <w:sz w:val="18"/>
                  <w:szCs w:val="18"/>
                  <w:u w:val="single" w:color="auto"/>
                  <w:color w:val="0000FF"/>
                  <w:w w:val="86"/>
                </w:rPr>
                <w:t>116</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19">
              <w:r>
                <w:rPr>
                  <w:rFonts w:ascii="Arial" w:cs="Arial" w:eastAsia="Arial" w:hAnsi="Arial"/>
                  <w:sz w:val="18"/>
                  <w:szCs w:val="18"/>
                  <w:u w:val="single" w:color="auto"/>
                  <w:color w:val="0000FF"/>
                  <w:w w:val="95"/>
                </w:rPr>
                <w:t>17.</w:t>
              </w:r>
            </w:hyperlink>
          </w:p>
        </w:tc>
        <w:tc>
          <w:tcPr>
            <w:tcW w:w="400" w:type="dxa"/>
            <w:vAlign w:val="bottom"/>
          </w:tcPr>
          <w:p>
            <w:pPr>
              <w:ind w:left="20"/>
              <w:spacing w:after="0"/>
              <w:rPr>
                <w:rFonts w:ascii="Arial" w:cs="Arial" w:eastAsia="Arial" w:hAnsi="Arial"/>
                <w:sz w:val="18"/>
                <w:szCs w:val="18"/>
                <w:u w:val="single" w:color="auto"/>
                <w:color w:val="0000FF"/>
                <w:w w:val="94"/>
              </w:rPr>
            </w:pPr>
            <w:hyperlink w:anchor="page119">
              <w:r>
                <w:rPr>
                  <w:rFonts w:ascii="Arial" w:cs="Arial" w:eastAsia="Arial" w:hAnsi="Arial"/>
                  <w:sz w:val="18"/>
                  <w:szCs w:val="18"/>
                  <w:u w:val="single" w:color="auto"/>
                  <w:color w:val="0000FF"/>
                  <w:w w:val="94"/>
                </w:rPr>
                <w:t>Debt</w:t>
              </w:r>
            </w:hyperlink>
          </w:p>
        </w:tc>
        <w:tc>
          <w:tcPr>
            <w:tcW w:w="9560" w:type="dxa"/>
            <w:vAlign w:val="bottom"/>
          </w:tcPr>
          <w:p>
            <w:pPr>
              <w:spacing w:after="0"/>
              <w:rPr>
                <w:sz w:val="19"/>
                <w:szCs w:val="19"/>
                <w:color w:val="auto"/>
              </w:rPr>
            </w:pPr>
          </w:p>
        </w:tc>
        <w:tc>
          <w:tcPr>
            <w:tcW w:w="780" w:type="dxa"/>
            <w:vAlign w:val="bottom"/>
          </w:tcPr>
          <w:p>
            <w:pPr>
              <w:jc w:val="center"/>
              <w:spacing w:after="0"/>
              <w:rPr>
                <w:rFonts w:ascii="Arial" w:cs="Arial" w:eastAsia="Arial" w:hAnsi="Arial"/>
                <w:sz w:val="18"/>
                <w:szCs w:val="18"/>
                <w:u w:val="single" w:color="auto"/>
                <w:color w:val="0000FF"/>
                <w:w w:val="86"/>
              </w:rPr>
            </w:pPr>
            <w:hyperlink w:anchor="page119">
              <w:r>
                <w:rPr>
                  <w:rFonts w:ascii="Arial" w:cs="Arial" w:eastAsia="Arial" w:hAnsi="Arial"/>
                  <w:sz w:val="18"/>
                  <w:szCs w:val="18"/>
                  <w:u w:val="single" w:color="auto"/>
                  <w:color w:val="0000FF"/>
                  <w:w w:val="86"/>
                </w:rPr>
                <w:t>118</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23">
              <w:r>
                <w:rPr>
                  <w:rFonts w:ascii="Arial" w:cs="Arial" w:eastAsia="Arial" w:hAnsi="Arial"/>
                  <w:sz w:val="18"/>
                  <w:szCs w:val="18"/>
                  <w:u w:val="single" w:color="auto"/>
                  <w:color w:val="0000FF"/>
                  <w:w w:val="95"/>
                </w:rPr>
                <w:t>18.</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Shareholders’ Equity</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23">
              <w:r>
                <w:rPr>
                  <w:rFonts w:ascii="Arial" w:cs="Arial" w:eastAsia="Arial" w:hAnsi="Arial"/>
                  <w:sz w:val="18"/>
                  <w:szCs w:val="18"/>
                  <w:u w:val="single" w:color="auto"/>
                  <w:color w:val="0000FF"/>
                  <w:w w:val="86"/>
                </w:rPr>
                <w:t>122</w:t>
              </w:r>
            </w:hyperlink>
          </w:p>
        </w:tc>
      </w:tr>
      <w:tr>
        <w:trPr>
          <w:trHeight w:val="229"/>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24">
              <w:r>
                <w:rPr>
                  <w:rFonts w:ascii="Arial" w:cs="Arial" w:eastAsia="Arial" w:hAnsi="Arial"/>
                  <w:sz w:val="18"/>
                  <w:szCs w:val="18"/>
                  <w:u w:val="single" w:color="auto"/>
                  <w:color w:val="0000FF"/>
                  <w:w w:val="95"/>
                </w:rPr>
                <w:t>19.</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Share-based Compensation</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24">
              <w:r>
                <w:rPr>
                  <w:rFonts w:ascii="Arial" w:cs="Arial" w:eastAsia="Arial" w:hAnsi="Arial"/>
                  <w:sz w:val="18"/>
                  <w:szCs w:val="18"/>
                  <w:u w:val="single" w:color="auto"/>
                  <w:color w:val="0000FF"/>
                  <w:w w:val="86"/>
                </w:rPr>
                <w:t>122</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26">
              <w:r>
                <w:rPr>
                  <w:rFonts w:ascii="Arial" w:cs="Arial" w:eastAsia="Arial" w:hAnsi="Arial"/>
                  <w:sz w:val="18"/>
                  <w:szCs w:val="18"/>
                  <w:u w:val="single" w:color="auto"/>
                  <w:color w:val="0000FF"/>
                  <w:w w:val="95"/>
                </w:rPr>
                <w:t>20.</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Variable Interest Entities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26">
              <w:r>
                <w:rPr>
                  <w:rFonts w:ascii="Arial" w:cs="Arial" w:eastAsia="Arial" w:hAnsi="Arial"/>
                  <w:sz w:val="18"/>
                  <w:szCs w:val="18"/>
                  <w:u w:val="single" w:color="auto"/>
                  <w:color w:val="0000FF"/>
                  <w:w w:val="86"/>
                </w:rPr>
                <w:t>124</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28">
              <w:r>
                <w:rPr>
                  <w:rFonts w:ascii="Arial" w:cs="Arial" w:eastAsia="Arial" w:hAnsi="Arial"/>
                  <w:sz w:val="18"/>
                  <w:szCs w:val="18"/>
                  <w:u w:val="single" w:color="auto"/>
                  <w:color w:val="0000FF"/>
                  <w:w w:val="95"/>
                </w:rPr>
                <w:t>21.</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Business Segments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28">
              <w:r>
                <w:rPr>
                  <w:rFonts w:ascii="Arial" w:cs="Arial" w:eastAsia="Arial" w:hAnsi="Arial"/>
                  <w:sz w:val="18"/>
                  <w:szCs w:val="18"/>
                  <w:u w:val="single" w:color="auto"/>
                  <w:color w:val="0000FF"/>
                  <w:w w:val="86"/>
                </w:rPr>
                <w:t>127</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31">
              <w:r>
                <w:rPr>
                  <w:rFonts w:ascii="Arial" w:cs="Arial" w:eastAsia="Arial" w:hAnsi="Arial"/>
                  <w:sz w:val="18"/>
                  <w:szCs w:val="18"/>
                  <w:u w:val="single" w:color="auto"/>
                  <w:color w:val="0000FF"/>
                  <w:w w:val="95"/>
                </w:rPr>
                <w:t>22.</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Quarterly Results (Unaudited)</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31">
              <w:r>
                <w:rPr>
                  <w:rFonts w:ascii="Arial" w:cs="Arial" w:eastAsia="Arial" w:hAnsi="Arial"/>
                  <w:sz w:val="18"/>
                  <w:szCs w:val="18"/>
                  <w:u w:val="single" w:color="auto"/>
                  <w:color w:val="0000FF"/>
                  <w:w w:val="86"/>
                </w:rPr>
                <w:t>129</w:t>
              </w:r>
            </w:hyperlink>
          </w:p>
        </w:tc>
      </w:tr>
      <w:tr>
        <w:trPr>
          <w:trHeight w:val="230"/>
        </w:trPr>
        <w:tc>
          <w:tcPr>
            <w:tcW w:w="480" w:type="dxa"/>
            <w:vAlign w:val="bottom"/>
            <w:gridSpan w:val="2"/>
          </w:tcPr>
          <w:p>
            <w:pPr>
              <w:ind w:left="220"/>
              <w:spacing w:after="0"/>
              <w:rPr>
                <w:rFonts w:ascii="Arial" w:cs="Arial" w:eastAsia="Arial" w:hAnsi="Arial"/>
                <w:sz w:val="18"/>
                <w:szCs w:val="18"/>
                <w:u w:val="single" w:color="auto"/>
                <w:color w:val="0000FF"/>
                <w:w w:val="95"/>
              </w:rPr>
            </w:pPr>
            <w:hyperlink w:anchor="page131">
              <w:r>
                <w:rPr>
                  <w:rFonts w:ascii="Arial" w:cs="Arial" w:eastAsia="Arial" w:hAnsi="Arial"/>
                  <w:sz w:val="18"/>
                  <w:szCs w:val="18"/>
                  <w:u w:val="single" w:color="auto"/>
                  <w:color w:val="0000FF"/>
                  <w:w w:val="95"/>
                </w:rPr>
                <w:t>23.</w:t>
              </w:r>
            </w:hyperlink>
          </w:p>
        </w:tc>
        <w:tc>
          <w:tcPr>
            <w:tcW w:w="9960" w:type="dxa"/>
            <w:vAlign w:val="bottom"/>
            <w:gridSpan w:val="2"/>
          </w:tcPr>
          <w:p>
            <w:pPr>
              <w:ind w:left="2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Subsequent Events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31">
              <w:r>
                <w:rPr>
                  <w:rFonts w:ascii="Arial" w:cs="Arial" w:eastAsia="Arial" w:hAnsi="Arial"/>
                  <w:sz w:val="18"/>
                  <w:szCs w:val="18"/>
                  <w:u w:val="single" w:color="auto"/>
                  <w:color w:val="0000FF"/>
                  <w:w w:val="86"/>
                </w:rPr>
                <w:t>130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31, 2020, based on criteria established in Internal Control-Integrated Framework issued by the Committee of Sponsoring Organizations of the Treadway Commission (2013 framework) (the “COSO criteria”).</w:t>
      </w:r>
    </w:p>
    <w:p>
      <w:pPr>
        <w:spacing w:after="0" w:line="14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2020,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December 31, 2020,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2020, based on the COSO criteria.</w:t>
      </w:r>
    </w:p>
    <w:p>
      <w:pPr>
        <w:spacing w:after="0" w:line="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2020 and 2019, the related consolidated statements of income, comprehensive income, shareholders’ equity and cash flows for each of the three years in the period ended December 31, 2020, and the related notes and our report dated March 1,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(the Company) as of December 31, 2020 and 2019, the related consolidated statements of income,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Valuation of Goodwill and Other Indefinite-Lived 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xml:space="preserve">Description of the </w:t>
      </w:r>
      <w:r>
        <w:rPr>
          <w:rFonts w:ascii="Arial" w:cs="Arial" w:eastAsia="Arial" w:hAnsi="Arial"/>
          <w:sz w:val="17"/>
          <w:szCs w:val="17"/>
          <w:color w:val="auto"/>
        </w:rPr>
        <w:t>At December 31, 2020, the Company’s goodwill and other indefinite-lived intangible assets were $2,817 million and $64 million,</w:t>
      </w:r>
    </w:p>
    <w:p>
      <w:pPr>
        <w:ind w:left="1380" w:right="300" w:hanging="1359"/>
        <w:spacing w:after="0" w:line="237" w:lineRule="auto"/>
        <w:tabs>
          <w:tab w:leader="none" w:pos="1360" w:val="left"/>
        </w:tabs>
        <w:rPr>
          <w:sz w:val="20"/>
          <w:szCs w:val="20"/>
          <w:color w:val="auto"/>
        </w:rPr>
      </w:pPr>
      <w:r>
        <w:rPr>
          <w:rFonts w:ascii="Arial" w:cs="Arial" w:eastAsia="Arial" w:hAnsi="Arial"/>
          <w:sz w:val="32"/>
          <w:szCs w:val="32"/>
          <w:i w:val="1"/>
          <w:iCs w:val="1"/>
          <w:color w:val="auto"/>
          <w:vertAlign w:val="superscript"/>
        </w:rPr>
        <w:t>Matter</w:t>
      </w:r>
      <w:r>
        <w:rPr>
          <w:sz w:val="20"/>
          <w:szCs w:val="20"/>
          <w:color w:val="auto"/>
        </w:rPr>
        <w:tab/>
      </w:r>
      <w:r>
        <w:rPr>
          <w:rFonts w:ascii="Arial" w:cs="Arial" w:eastAsia="Arial" w:hAnsi="Arial"/>
          <w:sz w:val="16"/>
          <w:szCs w:val="16"/>
          <w:color w:val="auto"/>
        </w:rPr>
        <w:t>respectively. For the year ended December 31, 2020, the Company recorded impairment charges of $73 million and $18 million for goodwill and other indefinite-lived intangible assets, respectively. As discussed in Note 2 to the consolidated financial statements, goodwill and other indefinite-lived intangible assets are tested for impairment at least annually, or more frequently if events or circumstances indicate a possible impairment. The Company’s goodwill is tested for impairment at the reporting unit level, and other indefinite-lived intangibles, which include trade names and trademarks, are each tested for impairment at the asset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Valuation of Goodwill and Other Indefinite-Lived Intangible Assets</w:t>
      </w:r>
    </w:p>
    <w:p>
      <w:pPr>
        <w:sectPr>
          <w:pgSz w:w="11900" w:h="16838" w:orient="portrait"/>
          <w:cols w:equalWidth="0" w:num="1">
            <w:col w:w="11180"/>
          </w:cols>
          <w:pgMar w:left="340" w:top="128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Auditing the Company’s goodwill and certain other indefinite-lived intangible assets impairment tests was complex and highly judgmental due to the significant estimation required to determine the fair value of the reporting units and trade names and trademarks. In particular, the fair value estimates for the reporting units were sensitive to changes in significant assumptions, which include projections </w:t>
      </w:r>
      <w:r>
        <w:rPr>
          <w:rFonts w:ascii="Arial" w:cs="Arial" w:eastAsia="Arial" w:hAnsi="Arial"/>
          <w:sz w:val="16"/>
          <w:szCs w:val="16"/>
          <w:color w:val="24282D"/>
        </w:rPr>
        <w:t>of revenues, expenses, expected future investments and estimated discount rates, while the fair value of the other indefinite-lived intangibles were sensitive to projections of revenues, the estimated discount rate and royalty rate. These significant assumptions are affected by expectations about future industry performance and market and economic conditions. Currently, the development of such projections and assumptions involves increased judgment due to the continued effects of the COVID pandemic on the global economy.</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goodwill and other indefinite-lived intangible assets impairment review process, including controls over management’s review of the significant assumptions described above.</w:t>
      </w:r>
    </w:p>
    <w:p>
      <w:pPr>
        <w:spacing w:after="0" w:line="102" w:lineRule="exact"/>
        <w:rPr>
          <w:sz w:val="20"/>
          <w:szCs w:val="20"/>
          <w:color w:val="auto"/>
        </w:rPr>
      </w:pPr>
    </w:p>
    <w:p>
      <w:pPr>
        <w:sectPr>
          <w:pgSz w:w="11900" w:h="16838" w:orient="portrait"/>
          <w:cols w:equalWidth="0" w:num="2">
            <w:col w:w="1020" w:space="340"/>
            <w:col w:w="9820"/>
          </w:cols>
          <w:pgMar w:left="340" w:top="1282" w:right="379" w:bottom="1440" w:gutter="0" w:footer="0" w:header="0"/>
          <w:type w:val="continuous"/>
        </w:sectPr>
      </w:pPr>
    </w:p>
    <w:p>
      <w:pPr>
        <w:ind w:left="1360"/>
        <w:spacing w:after="0" w:line="253" w:lineRule="auto"/>
        <w:rPr>
          <w:sz w:val="20"/>
          <w:szCs w:val="20"/>
          <w:color w:val="auto"/>
        </w:rPr>
      </w:pPr>
      <w:r>
        <w:rPr>
          <w:rFonts w:ascii="Arial" w:cs="Arial" w:eastAsia="Arial" w:hAnsi="Arial"/>
          <w:sz w:val="17"/>
          <w:szCs w:val="17"/>
          <w:color w:val="auto"/>
        </w:rPr>
        <w:t xml:space="preserve">To test the estimated fair value of the reporting units and other indefinite-lived intangible assets, we performed audit procedures that included, among others, assessing the methodologies used and testing the significant assumptions discussed above and the underlying data used by the Company in its analyses. We assessed the historical accuracy of the Company’s estimates, </w:t>
      </w:r>
      <w:r>
        <w:rPr>
          <w:rFonts w:ascii="Arial" w:cs="Arial" w:eastAsia="Arial" w:hAnsi="Arial"/>
          <w:sz w:val="17"/>
          <w:szCs w:val="17"/>
          <w:color w:val="24282D"/>
        </w:rPr>
        <w:t>compared the significant</w:t>
      </w:r>
      <w:r>
        <w:rPr>
          <w:rFonts w:ascii="Arial" w:cs="Arial" w:eastAsia="Arial" w:hAnsi="Arial"/>
          <w:sz w:val="17"/>
          <w:szCs w:val="17"/>
          <w:color w:val="auto"/>
        </w:rPr>
        <w:t xml:space="preserve"> </w:t>
      </w:r>
      <w:r>
        <w:rPr>
          <w:rFonts w:ascii="Arial" w:cs="Arial" w:eastAsia="Arial" w:hAnsi="Arial"/>
          <w:sz w:val="17"/>
          <w:szCs w:val="17"/>
          <w:color w:val="24282D"/>
        </w:rPr>
        <w:t xml:space="preserve">assumptions used by the Company to historical operating results and cash flows as well as current industry and economic trends and evaluated whether changes in the Company’s business model and other factors would materially affect the significant assumptions. </w:t>
      </w:r>
      <w:r>
        <w:rPr>
          <w:rFonts w:ascii="Arial" w:cs="Arial" w:eastAsia="Arial" w:hAnsi="Arial"/>
          <w:sz w:val="17"/>
          <w:szCs w:val="17"/>
          <w:color w:val="000000"/>
        </w:rPr>
        <w:t>We</w:t>
      </w:r>
      <w:r>
        <w:rPr>
          <w:rFonts w:ascii="Arial" w:cs="Arial" w:eastAsia="Arial" w:hAnsi="Arial"/>
          <w:sz w:val="17"/>
          <w:szCs w:val="17"/>
          <w:color w:val="24282D"/>
        </w:rPr>
        <w:t xml:space="preserve"> </w:t>
      </w:r>
      <w:r>
        <w:rPr>
          <w:rFonts w:ascii="Arial" w:cs="Arial" w:eastAsia="Arial" w:hAnsi="Arial"/>
          <w:sz w:val="17"/>
          <w:szCs w:val="17"/>
          <w:color w:val="000000"/>
        </w:rPr>
        <w:t xml:space="preserve">also performed sensitivity analyses on certain significant assumptions to evaluate the changes in the fair value of the reporting units and other indefinite-lived intangible assets that would result from changes in the assumptions. </w:t>
      </w:r>
      <w:r>
        <w:rPr>
          <w:rFonts w:ascii="Arial" w:cs="Arial" w:eastAsia="Arial" w:hAnsi="Arial"/>
          <w:sz w:val="17"/>
          <w:szCs w:val="17"/>
          <w:color w:val="24282D"/>
        </w:rPr>
        <w:t>We involved our valuation specialists to assist</w:t>
      </w:r>
      <w:r>
        <w:rPr>
          <w:rFonts w:ascii="Arial" w:cs="Arial" w:eastAsia="Arial" w:hAnsi="Arial"/>
          <w:sz w:val="17"/>
          <w:szCs w:val="17"/>
          <w:color w:val="000000"/>
        </w:rPr>
        <w:t xml:space="preserve"> </w:t>
      </w:r>
      <w:r>
        <w:rPr>
          <w:rFonts w:ascii="Arial" w:cs="Arial" w:eastAsia="Arial" w:hAnsi="Arial"/>
          <w:sz w:val="17"/>
          <w:szCs w:val="17"/>
          <w:color w:val="24282D"/>
        </w:rPr>
        <w:t>in the evaluation of the Company’s methodologies and certain significant assumptions, such as the projections of revenue, discount rates and royalty 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Vacation Ownership Products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Description of the </w:t>
      </w:r>
      <w:r>
        <w:rPr>
          <w:rFonts w:ascii="Arial" w:cs="Arial" w:eastAsia="Arial" w:hAnsi="Arial"/>
          <w:sz w:val="16"/>
          <w:szCs w:val="16"/>
          <w:color w:val="auto"/>
        </w:rPr>
        <w:t>The Company’s cost of vacation ownership products was $150 million for the year ended December 31, 2020. As discussed in Note 2</w:t>
      </w:r>
    </w:p>
    <w:p>
      <w:pPr>
        <w:spacing w:after="0" w:line="183" w:lineRule="auto"/>
        <w:tabs>
          <w:tab w:leader="none" w:pos="1340" w:val="left"/>
        </w:tabs>
        <w:rPr>
          <w:sz w:val="20"/>
          <w:szCs w:val="20"/>
          <w:color w:val="auto"/>
        </w:rPr>
      </w:pPr>
      <w:r>
        <w:rPr>
          <w:rFonts w:ascii="Arial" w:cs="Arial" w:eastAsia="Arial" w:hAnsi="Arial"/>
          <w:sz w:val="27"/>
          <w:szCs w:val="27"/>
          <w:i w:val="1"/>
          <w:iCs w:val="1"/>
          <w:color w:val="auto"/>
          <w:vertAlign w:val="superscript"/>
        </w:rPr>
        <w:t>Matter</w:t>
      </w:r>
      <w:r>
        <w:rPr>
          <w:sz w:val="20"/>
          <w:szCs w:val="20"/>
          <w:color w:val="auto"/>
        </w:rPr>
        <w:tab/>
      </w:r>
      <w:r>
        <w:rPr>
          <w:rFonts w:ascii="Arial" w:cs="Arial" w:eastAsia="Arial" w:hAnsi="Arial"/>
          <w:sz w:val="15"/>
          <w:szCs w:val="15"/>
          <w:color w:val="auto"/>
        </w:rPr>
        <w:t>to the consolidated financial statements, the Company accounts for the cost of vacation ownership products utilizing the relative sales</w:t>
      </w:r>
    </w:p>
    <w:p>
      <w:pPr>
        <w:sectPr>
          <w:pgSz w:w="11900" w:h="16838" w:orient="portrait"/>
          <w:cols w:equalWidth="0" w:num="1">
            <w:col w:w="11180"/>
          </w:cols>
          <w:pgMar w:left="340" w:top="128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value method in accordance with the authoritative guidance for accounting for real estate time-sharing transactions. Changes in estimates used in applying the relative sales value method are recognized in the period that the changes occur.</w:t>
      </w:r>
    </w:p>
    <w:p>
      <w:pPr>
        <w:spacing w:after="0" w:line="32"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certain estimates, such as estimated future revenue from sale of vacation ownership products, which are affected by expectations about future market and economic conditions.</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 from sale of vacation ownership products.</w:t>
      </w:r>
    </w:p>
    <w:p>
      <w:pPr>
        <w:spacing w:after="0" w:line="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evaluated the estimates used in the calculations, such as estimated future revenue from sale of vacation ownership products, utilizing historical operating results and relevant market information available.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1020" w:space="340"/>
            <w:col w:w="9820"/>
          </w:cols>
          <w:pgMar w:left="340" w:top="128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82" w:right="37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6"/>
          <w:szCs w:val="16"/>
          <w:b w:val="1"/>
          <w:bCs w:val="1"/>
          <w:color w:val="auto"/>
        </w:rPr>
        <w:t>Valuation of Originated and Acquired Vacation Ownership Notes Receivable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Description of the </w:t>
      </w:r>
      <w:r>
        <w:rPr>
          <w:rFonts w:ascii="Arial" w:cs="Arial" w:eastAsia="Arial" w:hAnsi="Arial"/>
          <w:sz w:val="16"/>
          <w:szCs w:val="16"/>
          <w:color w:val="auto"/>
        </w:rPr>
        <w:t>As of December 31, 2020, the Company’s vacation ownership notes receivable was $1,840 million of which $1,531 million related to</w:t>
      </w:r>
    </w:p>
    <w:p>
      <w:pPr>
        <w:spacing w:after="0" w:line="8" w:lineRule="exact"/>
        <w:rPr>
          <w:sz w:val="20"/>
          <w:szCs w:val="20"/>
          <w:color w:val="auto"/>
        </w:rPr>
      </w:pPr>
    </w:p>
    <w:p>
      <w:pPr>
        <w:ind w:left="1380" w:right="100" w:hanging="1359"/>
        <w:spacing w:after="0" w:line="257" w:lineRule="auto"/>
        <w:tabs>
          <w:tab w:leader="none" w:pos="1360" w:val="left"/>
        </w:tabs>
        <w:rPr>
          <w:sz w:val="20"/>
          <w:szCs w:val="20"/>
          <w:color w:val="auto"/>
        </w:rPr>
      </w:pPr>
      <w:r>
        <w:rPr>
          <w:rFonts w:ascii="Arial" w:cs="Arial" w:eastAsia="Arial" w:hAnsi="Arial"/>
          <w:sz w:val="32"/>
          <w:szCs w:val="32"/>
          <w:i w:val="1"/>
          <w:iCs w:val="1"/>
          <w:color w:val="auto"/>
          <w:vertAlign w:val="superscript"/>
        </w:rPr>
        <w:t>Matter</w:t>
      </w:r>
      <w:r>
        <w:rPr>
          <w:sz w:val="20"/>
          <w:szCs w:val="20"/>
          <w:color w:val="auto"/>
        </w:rPr>
        <w:tab/>
      </w:r>
      <w:r>
        <w:rPr>
          <w:rFonts w:ascii="Arial" w:cs="Arial" w:eastAsia="Arial" w:hAnsi="Arial"/>
          <w:sz w:val="16"/>
          <w:szCs w:val="16"/>
          <w:color w:val="auto"/>
        </w:rPr>
        <w:t xml:space="preserve">originated vacation ownership notes receivable and $309 million related to acquired vacation ownership notes receivable.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w:t>
      </w:r>
      <w:r>
        <w:rPr>
          <w:rFonts w:ascii="Arial" w:cs="Arial" w:eastAsia="Arial" w:hAnsi="Arial"/>
          <w:sz w:val="16"/>
          <w:szCs w:val="16"/>
          <w:color w:val="24282D"/>
        </w:rPr>
        <w:t>The Company’s acquired vacation ownership</w:t>
      </w:r>
      <w:r>
        <w:rPr>
          <w:rFonts w:ascii="Arial" w:cs="Arial" w:eastAsia="Arial" w:hAnsi="Arial"/>
          <w:sz w:val="16"/>
          <w:szCs w:val="16"/>
          <w:color w:val="auto"/>
        </w:rPr>
        <w:t xml:space="preserve"> </w:t>
      </w:r>
      <w:r>
        <w:rPr>
          <w:rFonts w:ascii="Arial" w:cs="Arial" w:eastAsia="Arial" w:hAnsi="Arial"/>
          <w:sz w:val="16"/>
          <w:szCs w:val="16"/>
          <w:color w:val="24282D"/>
        </w:rPr>
        <w:t>notes receivable are accounted for using the purchased credit deteriorated assets provision of the current expected credit loss model, whereby the Company estimates the reserve of its acquired vacation ownership receivables on a quarterly basis and any changes in the reserve are recorded as financing expense. The estimates of the variable consideration for originated vacation ownership notes receivable and the reserve for credit losses on the acquired vacation ownership notes receivable are based on default rates that are an output of the Company’s static pool analyses and the estimates regarding future defaults.</w:t>
      </w:r>
    </w:p>
    <w:p>
      <w:pPr>
        <w:sectPr>
          <w:pgSz w:w="11900" w:h="16838" w:orient="portrait"/>
          <w:cols w:equalWidth="0" w:num="1">
            <w:col w:w="11200"/>
          </w:cols>
          <w:pgMar w:left="320" w:top="12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Auditing the Company’s valuation of originated and acquired vacation ownership notes receivable was challenging because management’s assumptions regarding future defaults are highly subjective and requires significant judgment. Furthermore, significant audit effort is required as the static pool analyses are complex and contain a significant volume of data.</w:t>
      </w:r>
    </w:p>
    <w:p>
      <w:pPr>
        <w:spacing w:after="0" w:line="5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 xml:space="preserve">We obtained an understanding, evaluated the design and tested the operating effectiveness of controls over the Company’s </w:t>
      </w:r>
      <w:r>
        <w:rPr>
          <w:rFonts w:ascii="Arial" w:cs="Arial" w:eastAsia="Arial" w:hAnsi="Arial"/>
          <w:sz w:val="17"/>
          <w:szCs w:val="17"/>
          <w:color w:val="24282D"/>
        </w:rPr>
        <w:t>vacation</w:t>
      </w:r>
      <w:r>
        <w:rPr>
          <w:rFonts w:ascii="Arial" w:cs="Arial" w:eastAsia="Arial" w:hAnsi="Arial"/>
          <w:sz w:val="17"/>
          <w:szCs w:val="17"/>
          <w:color w:val="auto"/>
        </w:rPr>
        <w:t xml:space="preserve"> </w:t>
      </w:r>
      <w:r>
        <w:rPr>
          <w:rFonts w:ascii="Arial" w:cs="Arial" w:eastAsia="Arial" w:hAnsi="Arial"/>
          <w:sz w:val="17"/>
          <w:szCs w:val="17"/>
          <w:color w:val="24282D"/>
        </w:rPr>
        <w:t xml:space="preserve">ownership notes receivable </w:t>
      </w:r>
      <w:r>
        <w:rPr>
          <w:rFonts w:ascii="Arial" w:cs="Arial" w:eastAsia="Arial" w:hAnsi="Arial"/>
          <w:sz w:val="17"/>
          <w:szCs w:val="17"/>
          <w:color w:val="000000"/>
        </w:rPr>
        <w:t>process. For example, we tested controls over management’s review of the assumptions regarding future</w:t>
      </w:r>
      <w:r>
        <w:rPr>
          <w:rFonts w:ascii="Arial" w:cs="Arial" w:eastAsia="Arial" w:hAnsi="Arial"/>
          <w:sz w:val="17"/>
          <w:szCs w:val="17"/>
          <w:color w:val="24282D"/>
        </w:rPr>
        <w:t xml:space="preserve"> </w:t>
      </w:r>
      <w:r>
        <w:rPr>
          <w:rFonts w:ascii="Arial" w:cs="Arial" w:eastAsia="Arial" w:hAnsi="Arial"/>
          <w:sz w:val="17"/>
          <w:szCs w:val="17"/>
          <w:color w:val="000000"/>
        </w:rPr>
        <w:t>defaults and review of the static pool analyses, including the significant inputs to the analyses.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To test the valuation of </w:t>
      </w:r>
      <w:r>
        <w:rPr>
          <w:rFonts w:ascii="Arial" w:cs="Arial" w:eastAsia="Arial" w:hAnsi="Arial"/>
          <w:sz w:val="16"/>
          <w:szCs w:val="16"/>
          <w:color w:val="24282D"/>
        </w:rPr>
        <w:t>originated and acquired vacation ownership notes receivable</w:t>
      </w:r>
      <w:r>
        <w:rPr>
          <w:rFonts w:ascii="Arial" w:cs="Arial" w:eastAsia="Arial" w:hAnsi="Arial"/>
          <w:sz w:val="16"/>
          <w:szCs w:val="16"/>
          <w:color w:val="auto"/>
        </w:rPr>
        <w:t>, we performed audit procedures that included, among others, assessing the methodologies used, evaluating the assumptions regarding future defaults as discussed above, and testing the completeness and accuracy of the static pool analyses, including the significant inputs to the analyses. For example, w</w:t>
      </w:r>
      <w:r>
        <w:rPr>
          <w:rFonts w:ascii="Arial" w:cs="Arial" w:eastAsia="Arial" w:hAnsi="Arial"/>
          <w:sz w:val="16"/>
          <w:szCs w:val="16"/>
          <w:color w:val="24282D"/>
        </w:rPr>
        <w:t>e compared</w:t>
      </w:r>
      <w:r>
        <w:rPr>
          <w:rFonts w:ascii="Arial" w:cs="Arial" w:eastAsia="Arial" w:hAnsi="Arial"/>
          <w:sz w:val="16"/>
          <w:szCs w:val="16"/>
          <w:color w:val="auto"/>
        </w:rPr>
        <w:t xml:space="preserve"> </w:t>
      </w:r>
      <w:r>
        <w:rPr>
          <w:rFonts w:ascii="Arial" w:cs="Arial" w:eastAsia="Arial" w:hAnsi="Arial"/>
          <w:sz w:val="16"/>
          <w:szCs w:val="16"/>
          <w:color w:val="24282D"/>
        </w:rPr>
        <w:t>the assumptions regarding future defaults to recent trends in performance of the Company’s originated and acquired vacation ownership notes receivables and performed sensitivity analyses on the assumptions. We also compared inputs to the static pool analysis to historical data. We involved real estate subject matter resources on our team because of the significant judgment involved in auditing the future defaults assumptions and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1040" w:space="340"/>
            <w:col w:w="9820"/>
          </w:cols>
          <w:pgMar w:left="320" w:top="1233" w:right="3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33" w:right="37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Sale of vacation ownership products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Rental</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vacation ownership products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Marketing and sales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and exchange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Rental</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Royalty fee</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(Losses) gains and other (expense) income, net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ILG acquisition-related costs</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58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 TAXES AND</w:t>
            </w:r>
          </w:p>
        </w:tc>
        <w:tc>
          <w:tcPr>
            <w:tcW w:w="1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58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(LOSS) INCOME ATTRIBUTABLE TO COMMON</w:t>
            </w:r>
          </w:p>
        </w:tc>
        <w:tc>
          <w:tcPr>
            <w:tcW w:w="1120" w:type="dxa"/>
            <w:vAlign w:val="bottom"/>
            <w:vMerge w:val="restart"/>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5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11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(LOSS) EARNINGS PER SHARE ATTRIBUTABLE TO COMMON</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2020, 2019 and 2018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instrument adjustment, net of tax</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noncontrolling interests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0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 NONCONTROLLING</w:t>
            </w:r>
          </w:p>
        </w:tc>
        <w:tc>
          <w:tcPr>
            <w:tcW w:w="8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COMPREHENSIVE (LOSS) INCOME ATTRIBUTABLE TO COMMON</w:t>
            </w:r>
          </w:p>
        </w:tc>
        <w:tc>
          <w:tcPr>
            <w:tcW w:w="86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(287)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Year-End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and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$68 and $64 from VIEs, respectively)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Accounts receivable, net (including $11 and $13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 (including $1,493 and $1,750 from VIEs, respectively)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$54 and $39 from VIEs, respectively)</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Accrued liabilities (including $1 and $2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Securitized debt, net (including $1,604 and $1,871 from VIEs,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14)</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0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stock — $0.01 par value; 100,000,000 shares authorized; 75,279,061 and 75,020,272 shares</w:t>
            </w:r>
          </w:p>
        </w:tc>
        <w:tc>
          <w:tcPr>
            <w:tcW w:w="10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0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Treasury stock — at cost; 34,184,813 and 33,438,176 shares, respectively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(1,334)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b w:val="1"/>
                <w:bCs w:val="1"/>
                <w:color w:val="auto"/>
              </w:rPr>
              <w:t>TOTAL MVW SHAREHOLDERS' EQUITY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EQUITY</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AND EQUITY</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2020,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76"/>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Adjustments to reconcile net (loss) income to net cash, cash equivalents, and restricted cash</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of intangibles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Vacation ownership notes receivable reserve</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disposal of property and equipment, net</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0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Vacation ownership notes receivable originations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7020" w:type="dxa"/>
            <w:vAlign w:val="bottom"/>
          </w:tcPr>
          <w:p>
            <w:pPr>
              <w:ind w:left="480"/>
              <w:spacing w:after="0"/>
              <w:rPr>
                <w:sz w:val="20"/>
                <w:szCs w:val="20"/>
                <w:color w:val="auto"/>
              </w:rPr>
            </w:pPr>
            <w:r>
              <w:rPr>
                <w:rFonts w:ascii="Arial" w:cs="Arial" w:eastAsia="Arial" w:hAnsi="Arial"/>
                <w:sz w:val="18"/>
                <w:szCs w:val="18"/>
                <w:color w:val="auto"/>
              </w:rPr>
              <w:t>Vacation ownership notes receivable collections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020" w:type="dxa"/>
            <w:vAlign w:val="bottom"/>
          </w:tcPr>
          <w:p>
            <w:pPr>
              <w:ind w:left="48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020" w:type="dxa"/>
            <w:vAlign w:val="bottom"/>
          </w:tcPr>
          <w:p>
            <w:pPr>
              <w:ind w:left="480"/>
              <w:spacing w:after="0"/>
              <w:rPr>
                <w:sz w:val="20"/>
                <w:szCs w:val="20"/>
                <w:color w:val="auto"/>
              </w:rPr>
            </w:pPr>
            <w:r>
              <w:rPr>
                <w:rFonts w:ascii="Arial" w:cs="Arial" w:eastAsia="Arial" w:hAnsi="Arial"/>
                <w:sz w:val="18"/>
                <w:szCs w:val="18"/>
                <w:color w:val="auto"/>
              </w:rPr>
              <w:t>Accounts payable, advance deposits and accrued liabilities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020" w:type="dxa"/>
            <w:vAlign w:val="bottom"/>
          </w:tcPr>
          <w:p>
            <w:pPr>
              <w:ind w:left="480"/>
              <w:spacing w:after="0"/>
              <w:rPr>
                <w:sz w:val="20"/>
                <w:szCs w:val="20"/>
                <w:color w:val="auto"/>
              </w:rPr>
            </w:pPr>
            <w:r>
              <w:rPr>
                <w:rFonts w:ascii="Arial" w:cs="Arial" w:eastAsia="Arial" w:hAnsi="Arial"/>
                <w:sz w:val="18"/>
                <w:szCs w:val="18"/>
                <w:color w:val="auto"/>
              </w:rPr>
              <w:t>Payroll and benefit liabilities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compensation liability</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2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8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Disposition of subsidiary shares to noncontrolling interest holder</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collection of notes receivable</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company owned life insurance</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Dispositions, net</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680"/>
              <w:spacing w:after="0"/>
              <w:rPr>
                <w:sz w:val="20"/>
                <w:szCs w:val="20"/>
                <w:color w:val="auto"/>
              </w:rPr>
            </w:pPr>
            <w:r>
              <w:rPr>
                <w:rFonts w:ascii="Arial" w:cs="Arial" w:eastAsia="Arial" w:hAnsi="Arial"/>
                <w:sz w:val="18"/>
                <w:szCs w:val="18"/>
                <w:color w:val="auto"/>
                <w:w w:val="90"/>
              </w:rPr>
              <w:t>Net cash, cash equivalents, and restricted cash (used in) provided by investing activities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2020,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Borrowings from securitization transactions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 related to securitization transactions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debt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1,166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debt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Finance lease payment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dividends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7020" w:type="dxa"/>
            <w:vAlign w:val="bottom"/>
          </w:tcPr>
          <w:p>
            <w:pPr>
              <w:ind w:left="680"/>
              <w:spacing w:after="0" w:line="156" w:lineRule="exact"/>
              <w:rPr>
                <w:sz w:val="20"/>
                <w:szCs w:val="20"/>
                <w:color w:val="auto"/>
              </w:rPr>
            </w:pPr>
            <w:r>
              <w:rPr>
                <w:rFonts w:ascii="Arial" w:cs="Arial" w:eastAsia="Arial" w:hAnsi="Arial"/>
                <w:sz w:val="18"/>
                <w:szCs w:val="18"/>
                <w:color w:val="auto"/>
                <w:w w:val="97"/>
              </w:rPr>
              <w:t>Net cash, cash equivalents, and restricted cash provided by (used in) by financing</w:t>
            </w:r>
          </w:p>
        </w:tc>
        <w:tc>
          <w:tcPr>
            <w:tcW w:w="8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activities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w w:val="91"/>
              </w:rPr>
              <w:t>Non-cash issuance of note receivable in connection with disposition to noncontrolling interest</w:t>
            </w:r>
          </w:p>
        </w:tc>
        <w:tc>
          <w:tcPr>
            <w:tcW w:w="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issuance of stock in connection with ILG Acquisition</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Non-cash transfer from inventory to property and equipment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transfer from property and equipment to inventory</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acquired via capital lease</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Interest paid, net of amounts capitalized</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 net of refunds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Fiscal Years 2020, 2019 and 2018</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Common</w:t>
            </w: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Total MVW</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Common</w:t>
            </w:r>
          </w:p>
        </w:tc>
        <w:tc>
          <w:tcPr>
            <w:tcW w:w="7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Treasury</w:t>
            </w: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4"/>
              </w:rPr>
              <w:t>Other</w:t>
            </w:r>
          </w:p>
        </w:tc>
        <w:tc>
          <w:tcPr>
            <w:tcW w:w="7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Retained</w:t>
            </w:r>
          </w:p>
        </w:tc>
        <w:tc>
          <w:tcPr>
            <w:tcW w:w="1040" w:type="dxa"/>
            <w:vAlign w:val="bottom"/>
            <w:gridSpan w:val="3"/>
            <w:vMerge w:val="continue"/>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9"/>
              </w:rPr>
              <w:t>Noncontrolling</w:t>
            </w:r>
          </w:p>
        </w:tc>
        <w:tc>
          <w:tcPr>
            <w:tcW w:w="120" w:type="dxa"/>
            <w:vAlign w:val="bottom"/>
          </w:tcPr>
          <w:p>
            <w:pPr>
              <w:spacing w:after="0"/>
              <w:rPr>
                <w:sz w:val="12"/>
                <w:szCs w:val="12"/>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8"/>
        </w:trPr>
        <w:tc>
          <w:tcPr>
            <w:tcW w:w="66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Stock</w:t>
            </w:r>
          </w:p>
        </w:tc>
        <w:tc>
          <w:tcPr>
            <w:tcW w:w="33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9"/>
              </w:rPr>
              <w:t>Paid-In</w:t>
            </w:r>
          </w:p>
        </w:tc>
        <w:tc>
          <w:tcPr>
            <w:tcW w:w="1180" w:type="dxa"/>
            <w:vAlign w:val="bottom"/>
            <w:gridSpan w:val="3"/>
          </w:tcPr>
          <w:p>
            <w:pPr>
              <w:ind w:left="40"/>
              <w:spacing w:after="0" w:line="149" w:lineRule="exact"/>
              <w:rPr>
                <w:sz w:val="20"/>
                <w:szCs w:val="20"/>
                <w:color w:val="auto"/>
              </w:rPr>
            </w:pPr>
            <w:r>
              <w:rPr>
                <w:rFonts w:ascii="Arial" w:cs="Arial" w:eastAsia="Arial" w:hAnsi="Arial"/>
                <w:sz w:val="15"/>
                <w:szCs w:val="15"/>
                <w:b w:val="1"/>
                <w:bCs w:val="1"/>
                <w:color w:val="auto"/>
                <w:w w:val="99"/>
              </w:rPr>
              <w:t>Comprehensive</w:t>
            </w:r>
          </w:p>
        </w:tc>
        <w:tc>
          <w:tcPr>
            <w:tcW w:w="780" w:type="dxa"/>
            <w:vAlign w:val="bottom"/>
            <w:gridSpan w:val="3"/>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5"/>
                <w:szCs w:val="15"/>
                <w:b w:val="1"/>
                <w:bCs w:val="1"/>
                <w:color w:val="auto"/>
              </w:rPr>
              <w:t>Shareholders'</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Issued</w:t>
            </w:r>
          </w:p>
        </w:tc>
        <w:tc>
          <w:tcPr>
            <w:tcW w:w="3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b w:val="1"/>
                <w:bCs w:val="1"/>
                <w:color w:val="auto"/>
                <w:w w:val="92"/>
              </w:rPr>
              <w:t>Stock</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b w:val="1"/>
                <w:bCs w:val="1"/>
                <w:color w:val="auto"/>
                <w:w w:val="92"/>
              </w:rPr>
              <w:t>Stock</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99"/>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91"/>
              </w:rPr>
              <w:t>Income</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9"/>
              </w:rPr>
              <w:t>Interests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33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YEAR-END 2017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ILG Acquisition</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0" w:type="dxa"/>
            <w:vAlign w:val="bottom"/>
          </w:tcPr>
          <w:p>
            <w:pPr>
              <w:spacing w:after="0"/>
              <w:rPr>
                <w:sz w:val="1"/>
                <w:szCs w:val="1"/>
                <w:color w:val="auto"/>
              </w:rPr>
            </w:pPr>
          </w:p>
        </w:tc>
      </w:tr>
      <w:tr>
        <w:trPr>
          <w:trHeight w:val="166"/>
        </w:trPr>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line="166" w:lineRule="exact"/>
              <w:rPr>
                <w:sz w:val="20"/>
                <w:szCs w:val="20"/>
                <w:color w:val="auto"/>
              </w:rPr>
            </w:pPr>
            <w:r>
              <w:rPr>
                <w:rFonts w:ascii="Arial" w:cs="Arial" w:eastAsia="Arial" w:hAnsi="Arial"/>
                <w:sz w:val="16"/>
                <w:szCs w:val="16"/>
                <w:color w:val="auto"/>
              </w:rPr>
              <w:t>Disposition of subsidiary shares to</w:t>
            </w:r>
          </w:p>
        </w:tc>
        <w:tc>
          <w:tcPr>
            <w:tcW w:w="12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3380" w:type="dxa"/>
            <w:vAlign w:val="bottom"/>
          </w:tcPr>
          <w:p>
            <w:pPr>
              <w:ind w:left="300"/>
              <w:spacing w:after="0"/>
              <w:rPr>
                <w:sz w:val="20"/>
                <w:szCs w:val="20"/>
                <w:color w:val="auto"/>
              </w:rPr>
            </w:pPr>
            <w:r>
              <w:rPr>
                <w:rFonts w:ascii="Arial" w:cs="Arial" w:eastAsia="Arial" w:hAnsi="Arial"/>
                <w:sz w:val="16"/>
                <w:szCs w:val="16"/>
                <w:color w:val="auto"/>
              </w:rPr>
              <w:t>noncontrolling interest holder</w:t>
            </w: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8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Amounts related to share-based</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660" w:type="dxa"/>
            <w:vAlign w:val="bottom"/>
            <w:vMerge w:val="continue"/>
            <w:shd w:val="clear" w:color="auto" w:fill="CCEEFF"/>
          </w:tcPr>
          <w:p>
            <w:pPr>
              <w:spacing w:after="0"/>
              <w:rPr>
                <w:sz w:val="18"/>
                <w:szCs w:val="18"/>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Dividends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3380" w:type="dxa"/>
            <w:vAlign w:val="bottom"/>
          </w:tcPr>
          <w:p>
            <w:pPr>
              <w:ind w:left="100"/>
              <w:spacing w:after="0"/>
              <w:rPr>
                <w:sz w:val="20"/>
                <w:szCs w:val="20"/>
                <w:color w:val="auto"/>
              </w:rPr>
            </w:pPr>
            <w:r>
              <w:rPr>
                <w:rFonts w:ascii="Arial" w:cs="Arial" w:eastAsia="Arial" w:hAnsi="Arial"/>
                <w:sz w:val="16"/>
                <w:szCs w:val="16"/>
                <w:b w:val="1"/>
                <w:bCs w:val="1"/>
                <w:color w:val="auto"/>
              </w:rPr>
              <w:t>BALANCE AT YEAR-END 2018</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Impact of adoption of ASU 2016-02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3380" w:type="dxa"/>
            <w:vAlign w:val="bottom"/>
          </w:tcPr>
          <w:p>
            <w:pPr>
              <w:ind w:left="100"/>
              <w:spacing w:after="0"/>
              <w:rPr>
                <w:sz w:val="20"/>
                <w:szCs w:val="20"/>
                <w:color w:val="auto"/>
              </w:rPr>
            </w:pPr>
            <w:r>
              <w:rPr>
                <w:rFonts w:ascii="Arial" w:cs="Arial" w:eastAsia="Arial" w:hAnsi="Arial"/>
                <w:sz w:val="16"/>
                <w:szCs w:val="16"/>
                <w:b w:val="1"/>
                <w:bCs w:val="1"/>
                <w:color w:val="auto"/>
              </w:rPr>
              <w:t>OPENING BALANCE 2019</w:t>
            </w: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66"/>
        </w:trPr>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line="166" w:lineRule="exact"/>
              <w:rPr>
                <w:sz w:val="20"/>
                <w:szCs w:val="20"/>
                <w:color w:val="auto"/>
              </w:rPr>
            </w:pPr>
            <w:r>
              <w:rPr>
                <w:rFonts w:ascii="Arial" w:cs="Arial" w:eastAsia="Arial" w:hAnsi="Arial"/>
                <w:sz w:val="16"/>
                <w:szCs w:val="16"/>
                <w:color w:val="auto"/>
              </w:rPr>
              <w:t>ILG Acquisition purchase accounting</w:t>
            </w:r>
          </w:p>
        </w:tc>
        <w:tc>
          <w:tcPr>
            <w:tcW w:w="12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3380" w:type="dxa"/>
            <w:vAlign w:val="bottom"/>
          </w:tcPr>
          <w:p>
            <w:pPr>
              <w:ind w:left="300"/>
              <w:spacing w:after="0"/>
              <w:rPr>
                <w:sz w:val="20"/>
                <w:szCs w:val="20"/>
                <w:color w:val="auto"/>
              </w:rPr>
            </w:pPr>
            <w:r>
              <w:rPr>
                <w:rFonts w:ascii="Arial" w:cs="Arial" w:eastAsia="Arial" w:hAnsi="Arial"/>
                <w:sz w:val="16"/>
                <w:szCs w:val="16"/>
                <w:color w:val="auto"/>
              </w:rPr>
              <w:t>adjustment</w:t>
            </w: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38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Amounts related to share-based</w:t>
            </w: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660" w:type="dxa"/>
            <w:vAlign w:val="bottom"/>
            <w:vMerge w:val="continue"/>
            <w:shd w:val="clear" w:color="auto" w:fill="CCEEFF"/>
          </w:tcPr>
          <w:p>
            <w:pPr>
              <w:spacing w:after="0"/>
              <w:rPr>
                <w:sz w:val="18"/>
                <w:szCs w:val="18"/>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Dividends</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17.1</w:t>
            </w:r>
          </w:p>
        </w:tc>
        <w:tc>
          <w:tcPr>
            <w:tcW w:w="3380" w:type="dxa"/>
            <w:vAlign w:val="bottom"/>
          </w:tcPr>
          <w:p>
            <w:pPr>
              <w:ind w:left="300"/>
              <w:spacing w:after="0"/>
              <w:rPr>
                <w:sz w:val="20"/>
                <w:szCs w:val="20"/>
                <w:color w:val="auto"/>
              </w:rPr>
            </w:pPr>
            <w:r>
              <w:rPr>
                <w:rFonts w:ascii="Arial" w:cs="Arial" w:eastAsia="Arial" w:hAnsi="Arial"/>
                <w:sz w:val="16"/>
                <w:szCs w:val="16"/>
                <w:color w:val="auto"/>
              </w:rPr>
              <w:t>Tax restructuring transaction</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Employee stock plan issuance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3380" w:type="dxa"/>
            <w:vAlign w:val="bottom"/>
          </w:tcPr>
          <w:p>
            <w:pPr>
              <w:ind w:left="100"/>
              <w:spacing w:after="0"/>
              <w:rPr>
                <w:sz w:val="20"/>
                <w:szCs w:val="20"/>
                <w:color w:val="auto"/>
              </w:rPr>
            </w:pPr>
            <w:r>
              <w:rPr>
                <w:rFonts w:ascii="Arial" w:cs="Arial" w:eastAsia="Arial" w:hAnsi="Arial"/>
                <w:sz w:val="16"/>
                <w:szCs w:val="16"/>
                <w:b w:val="1"/>
                <w:bCs w:val="1"/>
                <w:color w:val="auto"/>
              </w:rPr>
              <w:t>BALANCE AT YEAR-END 2019</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(1,253)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Derivative instrument adjustment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6"/>
        </w:trPr>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3380" w:type="dxa"/>
            <w:vAlign w:val="bottom"/>
          </w:tcPr>
          <w:p>
            <w:pPr>
              <w:ind w:left="300"/>
              <w:spacing w:after="0" w:line="166" w:lineRule="exact"/>
              <w:rPr>
                <w:sz w:val="20"/>
                <w:szCs w:val="20"/>
                <w:color w:val="auto"/>
              </w:rPr>
            </w:pPr>
            <w:r>
              <w:rPr>
                <w:rFonts w:ascii="Arial" w:cs="Arial" w:eastAsia="Arial" w:hAnsi="Arial"/>
                <w:sz w:val="16"/>
                <w:szCs w:val="16"/>
                <w:color w:val="auto"/>
              </w:rPr>
              <w:t>Amounts related to share-based</w:t>
            </w:r>
          </w:p>
        </w:tc>
        <w:tc>
          <w:tcPr>
            <w:tcW w:w="12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3380" w:type="dxa"/>
            <w:vAlign w:val="bottom"/>
          </w:tcPr>
          <w:p>
            <w:pPr>
              <w:ind w:left="30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Repurchase of common stock</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380" w:type="dxa"/>
            <w:vAlign w:val="bottom"/>
          </w:tcPr>
          <w:p>
            <w:pPr>
              <w:ind w:left="300"/>
              <w:spacing w:after="0"/>
              <w:rPr>
                <w:sz w:val="20"/>
                <w:szCs w:val="20"/>
                <w:color w:val="auto"/>
              </w:rPr>
            </w:pPr>
            <w:r>
              <w:rPr>
                <w:rFonts w:ascii="Arial" w:cs="Arial" w:eastAsia="Arial" w:hAnsi="Arial"/>
                <w:sz w:val="16"/>
                <w:szCs w:val="16"/>
                <w:color w:val="auto"/>
              </w:rPr>
              <w:t>Dividends</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Employee stock plan issuance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3380" w:type="dxa"/>
            <w:vAlign w:val="bottom"/>
          </w:tcPr>
          <w:p>
            <w:pPr>
              <w:ind w:left="100"/>
              <w:spacing w:after="0"/>
              <w:rPr>
                <w:sz w:val="20"/>
                <w:szCs w:val="20"/>
                <w:color w:val="auto"/>
              </w:rPr>
            </w:pPr>
            <w:r>
              <w:rPr>
                <w:rFonts w:ascii="Arial" w:cs="Arial" w:eastAsia="Arial" w:hAnsi="Arial"/>
                <w:sz w:val="16"/>
                <w:szCs w:val="16"/>
                <w:b w:val="1"/>
                <w:bCs w:val="1"/>
                <w:color w:val="auto"/>
              </w:rPr>
              <w:t>BALANCE AT YEAR-END 2020</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(1,334)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79" w:name="page80"/>
    <w:bookmarkEnd w:id="79"/>
    <w:p>
      <w:pPr>
        <w:ind w:left="326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as “Marriott Bonvoy.” We use certain other terms that are defined within these Financial Statements.</w:t>
      </w:r>
    </w:p>
    <w:p>
      <w:pPr>
        <w:spacing w:after="0" w:line="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(loss)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(as defined below), and efforts to mitigate it, has made it more challenging to make these estimates. Accordingly, ultimate results could differ from these estimated amounts.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with our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March 2020, the World Health Organization declared the coronavirus (COVID-19) outbreak a global pandemic (“COVID-19,” “the COVID-19 pandemic,” “the pandemic,” or “the virus”), and since then the world has been, and continues to be, impacted by this virus. National, federal, state, and local governments have since implemented various travel restrictions, border closings, restrictions on public gatherings, mandatory quarantines, shelter-in-place mandates and limitations on business operations. The COVID-19 pandemic had a swift and unexpected adverse impact on the global economic landscape, with an especially significant adverse impact on the travel and hospitality industries.</w:t>
      </w:r>
    </w:p>
    <w:p>
      <w:pPr>
        <w:spacing w:after="0" w:line="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results of operations for 2020 include impacts related to the COVID-19 pandemic, which have been significantly adverse for our business. The COVID-19 pandemic and measures to prevent or slow the spread of the virus impacted our businesses in a number of ways. In our vacation ownership segment, due to low occupancy rates and based on various governmental mandates and advisories, we closed all of our sales centers and several of our resorts and reduced operations and amenities at our resorts over the course of 2020. These actions led to a material decrease in contract sales and rental revenues from our vacation ownership business. In our Exchange &amp; Third-Party Management business, the closures of certain affiliated resorts and managed properties had an adverse impact on our business, and the closure of a large number of resorts, and their decision not to take reservations, during a portion of the year resulted in a decrease in management and exchange revenues.</w:t>
      </w:r>
    </w:p>
    <w:p>
      <w:pPr>
        <w:spacing w:after="0" w:line="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response to the evolving situation and in anticipation of continued possible disruptions, we took action to implement various cost saving measures and to preserve liquidity through restructuring our workforce and corporate debt. See Footnote 3 “Restructuring Charges” for more information about the restructuring charges recorded as a result of the COVID-19 pandemic. Also see Footnote 17 “Debt” for information on the steps taken to preserve liquidity during these uncertain times.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Acquisition of ILG</w:t>
      </w:r>
    </w:p>
    <w:p>
      <w:pPr>
        <w:spacing w:after="0" w:line="11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September 1, 2018 (the “Acquisition Date”),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See Footnote 4 “Acquisitions and Dispositions” for more information on the ILG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account for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 of Vacation Ownership Products</w:t>
      </w:r>
    </w:p>
    <w:p>
      <w:pPr>
        <w:spacing w:after="0" w:line="117"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5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and, in certain cases, membership in a brand affiliated club. Non-cash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8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assessment of collectibility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rely on historical payment data by customer class as described in “</w:t>
      </w:r>
      <w:r>
        <w:rPr>
          <w:rFonts w:ascii="Arial" w:cs="Arial" w:eastAsia="Arial" w:hAnsi="Arial"/>
          <w:sz w:val="16"/>
          <w:szCs w:val="16"/>
          <w:i w:val="1"/>
          <w:iCs w:val="1"/>
          <w:color w:val="auto"/>
        </w:rPr>
        <w:t>Loan Loss Reserves</w:t>
      </w:r>
      <w:r>
        <w:rPr>
          <w:rFonts w:ascii="Arial" w:cs="Arial" w:eastAsia="Arial" w:hAnsi="Arial"/>
          <w:sz w:val="16"/>
          <w:szCs w:val="16"/>
          <w:color w:val="auto"/>
        </w:rPr>
        <w:t>” below. Variable consideration which has not been included within the transaction price is presented as a reserve on vacation ownership notes receivable. Revisions to estimates of variable consideration from the sale of vacation ownership products impact the reserve on vacation ownership notes receivable and can increase or decrease revenue. Revenues were reduced during 2020 by $79 million due to changes in our estimates of variable consideration for performance obligations that were satisfied in prior periods. See Footnote 7 “Vacation Ownership Notes Receivable” for information on increases to our vacation ownership notes receivable reserve attributable to the COVID-19 pandemic. In addition, we account for cash incentives provided to customers as a reduction of the transaction price. Refer to “</w:t>
      </w:r>
      <w:r>
        <w:rPr>
          <w:rFonts w:ascii="Arial" w:cs="Arial" w:eastAsia="Arial" w:hAnsi="Arial"/>
          <w:sz w:val="16"/>
          <w:szCs w:val="16"/>
          <w:i w:val="1"/>
          <w:iCs w:val="1"/>
          <w:color w:val="auto"/>
        </w:rPr>
        <w:t>Arrangements with Multiple Performance Obligations</w:t>
      </w:r>
      <w:r>
        <w:rPr>
          <w:rFonts w:ascii="Arial" w:cs="Arial" w:eastAsia="Arial" w:hAnsi="Arial"/>
          <w:sz w:val="16"/>
          <w:szCs w:val="16"/>
          <w:color w:val="auto"/>
        </w:rPr>
        <w:t>” below for a description of our methods of allocating transaction price to each performance obligation.</w:t>
      </w:r>
    </w:p>
    <w:p>
      <w:pPr>
        <w:spacing w:after="0" w:line="6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we transfer control of the vacation ownership product at different times for Legacy-MVW and Legacy-ILG. We recognize revenue on the sale of Legacy-MVW vacation ownership products at closing. We recognize revenue on the sale of Legacy-ILG vacation ownership products upon expiration of the rescission period.</w:t>
      </w:r>
    </w:p>
    <w:p>
      <w:pPr>
        <w:spacing w:after="0" w:line="5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b w:val="1"/>
          <w:bCs w:val="1"/>
          <w:i w:val="1"/>
          <w:iCs w:val="1"/>
          <w:color w:val="auto"/>
        </w:rPr>
        <w:t>Management and Exchange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Ancillary Revenues</w:t>
      </w:r>
    </w:p>
    <w:p>
      <w:pPr>
        <w:spacing w:after="0" w:line="117"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Management Fee Revenues and Cost Reimbursements Revenues</w:t>
      </w:r>
    </w:p>
    <w:p>
      <w:pPr>
        <w:spacing w:after="0" w:line="1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condominium owners and hotels.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property owners’ associations related to maintenance fees for unsold vacation ownership products, as we have concluded that such payments are consideration payable to a customer.</w:t>
      </w:r>
    </w:p>
    <w:p>
      <w:pPr>
        <w:spacing w:after="0" w:line="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7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Services Revenues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cancellable and refundable on a pro-rata basis, with the exception of the Interval International network’s Platinum tier which is non-refundable. Transaction-based fees are typically collected at a point in time.</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2" w:name="page83"/>
    <w:bookmarkEnd w:id="82"/>
    <w:p>
      <w:pPr>
        <w:ind w:right="100" w:firstLine="648"/>
        <w:spacing w:after="0" w:line="257" w:lineRule="auto"/>
        <w:rPr>
          <w:sz w:val="20"/>
          <w:szCs w:val="20"/>
          <w:color w:val="auto"/>
        </w:rPr>
      </w:pPr>
      <w:r>
        <w:rPr>
          <w:rFonts w:ascii="Arial" w:cs="Arial" w:eastAsia="Arial" w:hAnsi="Arial"/>
          <w:sz w:val="18"/>
          <w:szCs w:val="18"/>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Revenues</w:t>
      </w:r>
    </w:p>
    <w:p>
      <w:pPr>
        <w:spacing w:after="0" w:line="11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w:t>
      </w:r>
    </w:p>
    <w:p>
      <w:pPr>
        <w:spacing w:after="0" w:line="5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we recognize interest income related to our acquired vacation ownership notes receivable using the level yield method. See Footnote 7 “Vacation Ownership Notes Receivable” for additional information related to the accounting for our acquired vacation ownership notes receivable.</w:t>
      </w:r>
    </w:p>
    <w:p>
      <w:pPr>
        <w:spacing w:after="0" w:line="1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Financing revenues include transaction-based fees we charge to owners and other third parties for services. We recognize fee revenues when services have been rendered.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Revenues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International network and certain other membership programs from seasonal oversupply or underutilized space, as well as sourced resort accommodations.</w:t>
      </w:r>
    </w:p>
    <w:p>
      <w:pPr>
        <w:spacing w:after="0" w:line="8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receive payments for rentals primarily through credit card charges. We generally recognize rental revenues when occupancy has occurred, which is consistent with the period in which the customer benefits from such service. For certain rental revenues associated with our Exchange &amp; Third-Party Management segment, revenue is recognized when confirmation of the transaction is provided as we concluded we are an agent for these transactions. We recognize rental revenue from the utilization of plus points issued in connection with the sale of vacation ownership products as described in “</w:t>
      </w:r>
      <w:r>
        <w:rPr>
          <w:rFonts w:ascii="Arial" w:cs="Arial" w:eastAsia="Arial" w:hAnsi="Arial"/>
          <w:sz w:val="18"/>
          <w:szCs w:val="18"/>
          <w:i w:val="1"/>
          <w:iCs w:val="1"/>
          <w:color w:val="auto"/>
        </w:rPr>
        <w:t>Sale of Vacation Ownership Products</w:t>
      </w:r>
      <w:r>
        <w:rPr>
          <w:rFonts w:ascii="Arial" w:cs="Arial" w:eastAsia="Arial" w:hAnsi="Arial"/>
          <w:sz w:val="18"/>
          <w:szCs w:val="18"/>
          <w:color w:val="auto"/>
        </w:rPr>
        <w:t>” above.</w:t>
      </w:r>
    </w:p>
    <w:p>
      <w:pPr>
        <w:spacing w:after="0" w:line="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 </w:t>
      </w:r>
      <w:r>
        <w:rPr>
          <w:rFonts w:ascii="Arial" w:cs="Arial" w:eastAsia="Arial" w:hAnsi="Arial"/>
          <w:sz w:val="18"/>
          <w:szCs w:val="18"/>
          <w:i w:val="1"/>
          <w:iCs w:val="1"/>
          <w:color w:val="auto"/>
        </w:rPr>
        <w:t>Time-Sharing Activities</w:t>
      </w:r>
      <w:r>
        <w:rPr>
          <w:rFonts w:ascii="Arial" w:cs="Arial" w:eastAsia="Arial" w:hAnsi="Arial"/>
          <w:sz w:val="18"/>
          <w:szCs w:val="18"/>
          <w:color w:val="auto"/>
        </w:rPr>
        <w: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Arrangements with Multiple Performance Obligations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3" w:name="page84"/>
    <w:bookmarkEnd w:id="83"/>
    <w:p>
      <w:pPr>
        <w:ind w:left="740"/>
        <w:spacing w:after="0"/>
        <w:rPr>
          <w:sz w:val="20"/>
          <w:szCs w:val="20"/>
          <w:color w:val="auto"/>
        </w:rPr>
      </w:pPr>
      <w:r>
        <w:rPr>
          <w:rFonts w:ascii="Arial" w:cs="Arial" w:eastAsia="Arial" w:hAnsi="Arial"/>
          <w:sz w:val="18"/>
          <w:szCs w:val="18"/>
          <w:b w:val="1"/>
          <w:bCs w:val="1"/>
          <w:i w:val="1"/>
          <w:iCs w:val="1"/>
          <w:color w:val="auto"/>
        </w:rPr>
        <w:t>Receivables, Contract Assets &amp; Contract Liabilities</w:t>
      </w:r>
    </w:p>
    <w:p>
      <w:pPr>
        <w:spacing w:after="0" w:line="1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5 “Revenue” for additional information related to our receivables, contract assets and contract liabilities.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to Sell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charge marketing and sales costs we incur to sell vacation ownership products to expense when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Earnings Per Share Attributable to Common Shareholders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Basic (loss) earnings per share attributable to common shareholders is calculated by dividing the (loss) earnings available to common shareholders by the weighted average number of common shares outstanding for the period. Diluted (loss) earnings per share attributable to common shareholders is calculated to give effect to all potentially dilutive common shares that were outstanding during the reporting period. The dilutive effect of outstanding equity-based compensation awards is reflected in diluted earnings per share attributable to common shareholders by application of the treasury stock method. Any potentially dilutive equity-based compensation awards are excluded from the calculation for periods when there is a net loss attributable to common shareholders to avoid anti-dilutive effects.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our accounting for business combinations we are required to determine the useful lives of identifiable intangible assets recognized separately from goodwill. The useful life of an intangible asset is the period over which the asset is expected to contribute directly or indirectly to the future cash flows of the acquired business. An intangible asset with a finite useful life shall be amortized; an intangible asset with an indefinite useful life shall not be amortized. We base the estimate of the useful life of an intangible asset on an analysis of all pertinent factors, in particular, all of the following factors with no one factor being more presumptive than the other:</w:t>
      </w:r>
    </w:p>
    <w:p>
      <w:pPr>
        <w:spacing w:after="0" w:line="2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use of the asset.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useful life of another asset or a group of assets to which the useful life of the intangible asset may relate.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legal, regulatory, or contractual provisions that may limit the useful life.</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own historical experience in renewing or extending similar arrangements, consistent with our intended use of the asset, regardless of whether those arrangements have explicit renewal or extension provisions.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obsolescence, demand, competition, and other economic factors.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maintenance expenditures required to obtain the expected future cash flows from the asset.</w:t>
      </w:r>
    </w:p>
    <w:p>
      <w:pPr>
        <w:spacing w:after="0" w:line="117"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If no legal, regulatory, contractual, competitive, economic, or other factors limit the useful life of an intangible asset to the reporting entity, the useful life of the asset shall be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p>
      <w:pPr>
        <w:ind w:right="60" w:firstLine="648"/>
        <w:spacing w:after="0" w:line="257" w:lineRule="auto"/>
        <w:rPr>
          <w:sz w:val="20"/>
          <w:szCs w:val="20"/>
          <w:color w:val="auto"/>
        </w:rPr>
      </w:pPr>
      <w:r>
        <w:rPr>
          <w:rFonts w:ascii="Arial" w:cs="Arial" w:eastAsia="Arial" w:hAnsi="Arial"/>
          <w:sz w:val="18"/>
          <w:szCs w:val="18"/>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 Unanticipated events and circumstances may occur which could affect the accuracy or validity of our assumptions, estimates or actual results.</w:t>
      </w:r>
    </w:p>
    <w:p>
      <w:pPr>
        <w:spacing w:after="0" w:line="8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Additionally, when acquiring a company that has recorded deferred revenue in its historical, pre-acquisition financial statements, we are required as part of purchase accounting to re-measure the deferred revenue as of the acquisition date. Deferred revenue is re-measured to represent solely the cost that relates to the associated legal performance obligation which we assumed as part of the acquisition, plus a normal profit margin representing the level of effort or risk assumed. Legal performance obligations that simply relate to the passage of time would not result in recognized deferred revenue as there is little to no associated cost. This purchase accounting treatment typically results in lower amounts of revenue recognized in a reporting period following the acquisition than would have otherwise been recognized on a historical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have several financial instruments that we must measure at fair value on a recurring basis. See Footnote 8 “Financial Instruments” for further information. We also apply the provisions of fair value measurement to various non-recurring measurements for our financial and non-financial assets and liabilities.</w:t>
      </w:r>
    </w:p>
    <w:p>
      <w:pPr>
        <w:spacing w:after="0" w:line="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6" w:lineRule="exact"/>
        <w:rPr>
          <w:sz w:val="20"/>
          <w:szCs w:val="20"/>
          <w:color w:val="auto"/>
        </w:rPr>
      </w:pPr>
    </w:p>
    <w:p>
      <w:pPr>
        <w:ind w:left="980" w:right="72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62" w:lineRule="exact"/>
        <w:rPr>
          <w:rFonts w:ascii="Arial" w:cs="Arial" w:eastAsia="Arial" w:hAnsi="Arial"/>
          <w:sz w:val="18"/>
          <w:szCs w:val="18"/>
          <w:color w:val="auto"/>
        </w:rPr>
      </w:pPr>
    </w:p>
    <w:p>
      <w:pPr>
        <w:ind w:left="980" w:hanging="324"/>
        <w:spacing w:after="0" w:line="259"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8"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Restricted cash primarily consists of cash restricted for use by consolidated property owners’ associations which is designated for resort operations and other specific uses, such as reserves, cash held in a reserve account related to vacation ownership notes receivable securitizations, cash collected for maintenance fees to be remitted to property owners’ associations, and deposits received and held in escrow, primarily associated with the sale of vacation ownership products.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Accounts receivable are stated at amounts due from customers, principally resort developers, members and managed properties, net of a reserve for credit losses. Accounts receivable outstanding longer than the contractual payment terms are considered past due. We determine our credit loss reserve for accounts receivable by considering a number of factors, including the length of time accounts receivable are past due,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$15 million and $12 million at December 31, 2020 and December 31, 2019, respectively. Accounts receivable also includes interest receivable on vacation ownership notes receivable. Write-offs of interest receivable are recorded as a reversal of previously recorded interest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 Reserve for Credit Losses</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part of the ILG Acquisition, we acquired existing portfolios of vacation ownership notes receivable. At acquisition, we recorded these vacation ownership notes receivable at fair value. Upon adoption of ASU 2016-13 (as defined below) on January 1, 2020,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w:t>
      </w:r>
    </w:p>
    <w:p>
      <w:pPr>
        <w:spacing w:after="0" w:line="5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addition, we established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w:t>
      </w:r>
    </w:p>
    <w:p>
      <w:pPr>
        <w:spacing w:after="0" w:line="7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additional information on our acquired vacation ownership notes receivable, including information on the related reserves and the impact of the COVID-19 pandemic, see Footnote 7 “Vacation Ownership Notes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 Reserve</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record the difference between the vacation ownership note receivable and the variable consideration included in the transaction price for the sale of the related vacation ownership product as a reserve on our originated vacation ownership notes receivable. See “Financing Revenues” above for further information.</w:t>
      </w:r>
    </w:p>
    <w:p>
      <w:pPr>
        <w:spacing w:after="0" w:line="7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For Legacy-ILG vacation ownership notes receivable we consider loans over 120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additional information on our originated vacation ownership notes receivable, including information on the related reserves and the impact of the COVID-19 pandemic, see Footnote 7 “Vacation Ownership Notes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and vacation ownership products under construction.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variable consideration which has not been included within the transaction price (accordingly, no adjustment is made when inventory is reacquired upon default of the related receivable). These standards provide for changes in estimates within the relative sales value calculations to be accounted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6" w:name="page87"/>
    <w:bookmarkEnd w:id="86"/>
    <w:p>
      <w:pPr>
        <w:ind w:right="60"/>
        <w:spacing w:after="0" w:line="311" w:lineRule="auto"/>
        <w:rPr>
          <w:sz w:val="20"/>
          <w:szCs w:val="20"/>
          <w:color w:val="auto"/>
        </w:rPr>
      </w:pPr>
      <w:r>
        <w:rPr>
          <w:rFonts w:ascii="Arial" w:cs="Arial" w:eastAsia="Arial" w:hAnsi="Arial"/>
          <w:sz w:val="16"/>
          <w:szCs w:val="16"/>
          <w:color w:val="auto"/>
        </w:rPr>
        <w:t>for as real estate inventory true-ups, which we refer to as product cost true-up activity, and are recorded in Cost of vacation ownership product expenses on the Income Statements to retrospectively adjust the margin previously recorded subject to those estimates. For 2020, 2019 and 2018, product cost true-up activity relating to vacation ownership products increased carrying values of inventory by $6 million, $8 million and $6 million,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Property and equipment includes our sales centers, golf courses, information technology, including internally developed capitalized software,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vacation ownership interests are classified as property and equipment until they are registered for sale. We record property and equipment at cost, including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5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account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(“ASC 842”). We determine if an arrangement is or contains a lease at contract inception. Operating leases include lease arrangements for various land, corporate facilities, real estate and equipment. We also have a long-term land lease for land underlying an operating hotel. Corporate facilities leases are for office space, including our corporate headquarters in Orlando, Florida. Other operating leases are primarily for office, off-site sales centers and retail space, as well as various equipment supporting our operations, with varying terms and renewal option periods.</w:t>
      </w:r>
    </w:p>
    <w:p>
      <w:pPr>
        <w:spacing w:after="0" w:line="8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Finance leases include lease arrangements for ancillary and operations space. In addition, we also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7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retail sales over contractual levels and others include rental payments adjusted periodically for inflation. Additionally, with respect to our real estate leases, we do not separate lease and non-lease components.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Other Intangible Assets</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7" w:name="page88"/>
    <w:bookmarkEnd w:id="87"/>
    <w:p>
      <w:pPr>
        <w:ind w:right="560" w:firstLine="648"/>
        <w:spacing w:after="0" w:line="277" w:lineRule="auto"/>
        <w:rPr>
          <w:sz w:val="20"/>
          <w:szCs w:val="20"/>
          <w:color w:val="auto"/>
        </w:rPr>
      </w:pPr>
      <w:r>
        <w:rPr>
          <w:rFonts w:ascii="Arial" w:cs="Arial" w:eastAsia="Arial" w:hAnsi="Arial"/>
          <w:sz w:val="18"/>
          <w:szCs w:val="18"/>
          <w:color w:val="auto"/>
        </w:rPr>
        <w:t>We recorded $3 million of impairment charges for property and equipment during 2020. See Footnote 13 “Intangible Assets” for additional information on our intangibles, including the impairment charges recorded during the year ended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5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Footnote 12 “Goodwill” for additional information on our goodwill, including the impairment charges recorded during the year ended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accounting for the 1.50% Convertible Senior Notes due 2022 (the “2022 Convertible Notes”), we bifurcated the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2022 Convertible Notes. The excess of the principal amount of the liability over its carrying amount is amortized to interest expense over the term of the 2022 Convertible Notes using the effective interest method. The equity component is not remeasured as long as it continues to meet the conditions for equity classification. In accounting for the issuance costs related to the 2022 Convertible Notes, we allocated the total amount incurred to the liability and equity components based on their relative values. Issuance costs attributable to the liability component are amortized to interest expense over the term of the 2022 Convertible Notes, and issuance costs attributable to the equity component are included along with the equity component in additional paid-in capital within shareholders’ equity. See Footnote 17 “Debt” for more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6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$12 million in 2020, $19 million in 2019 and $11 million in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63"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that were employees of Marriott Vacations Worldwide at the time of the Marriott Spin-Off including earnings thereon.</w:t>
      </w:r>
    </w:p>
    <w:p>
      <w:pPr>
        <w:spacing w:after="0" w:line="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2020 and 2019, participants were able to select a rate of return based on market-based investment alternatives for up to 100 percent of their contributions and existing balances, with one of those options being a fixed rate of return of 3.5 percent.</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December 31, 2020, the value of the assets held in the rabbi trust was $54 million, which is included in the Other line within assets on our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Costs</w:t>
      </w:r>
    </w:p>
    <w:p>
      <w:pPr>
        <w:spacing w:after="0" w:line="11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During the second quarter of 2020, our shareholders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6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MVW Equity Plan was established in order to compensate our employees and directors by granting them equity awards such as restricted stock units (“RSUs”), stock appreciation rights (“SARs”) and stock options.</w:t>
      </w:r>
    </w:p>
    <w:p>
      <w:pPr>
        <w:spacing w:after="0" w:line="6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follow the provisions of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cumulative achievement over that period of specific quantitative operating financial measures and we recognize compensation expense once it is probable that the corresponding performance condition will be achieved.</w:t>
      </w:r>
    </w:p>
    <w:p>
      <w:pPr>
        <w:spacing w:after="0" w:line="6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9" w:name="page90"/>
    <w:bookmarkEnd w:id="89"/>
    <w:p>
      <w:pPr>
        <w:ind w:right="20"/>
        <w:spacing w:after="0" w:line="263" w:lineRule="auto"/>
        <w:rPr>
          <w:sz w:val="20"/>
          <w:szCs w:val="20"/>
          <w:color w:val="auto"/>
        </w:rPr>
      </w:pPr>
      <w:r>
        <w:rPr>
          <w:rFonts w:ascii="Arial" w:cs="Arial" w:eastAsia="Arial" w:hAnsi="Arial"/>
          <w:sz w:val="18"/>
          <w:szCs w:val="18"/>
          <w:color w:val="auto"/>
        </w:rPr>
        <w:t>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share-based awards granted to non-employee directors, we recognize compensation expense on the grant date based on the fair value of the awards as of that date. See Footnote 19 “Share-Based Compensation” for more information on the MVW Equity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Operations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(Losses) gains and other (expense) income, net line on our Income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file tax returns after the close of our fiscal year end and adjust our estimated tax receivable or liability to the actual tax receivable or due per the filed tax returns. Historically, we have not experienced significant differences between our estimates of provision for income tax and actual amounts incurred.</w:t>
      </w:r>
    </w:p>
    <w:p>
      <w:pPr>
        <w:spacing w:after="0" w:line="7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purposes of Global Intangible Low-Taxed Income (“GILTI”), we have elected to use the period cost method and therefore have not recorded deferred taxes for basis differences expected to reverse in future periods.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0" w:name="page91"/>
    <w:bookmarkEnd w:id="90"/>
    <w:p>
      <w:pPr>
        <w:ind w:right="140" w:firstLine="648"/>
        <w:spacing w:after="0" w:line="255"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84" w:lineRule="exact"/>
        <w:rPr>
          <w:sz w:val="20"/>
          <w:szCs w:val="20"/>
          <w:color w:val="auto"/>
        </w:rPr>
      </w:pPr>
    </w:p>
    <w:p>
      <w:pPr>
        <w:ind w:right="1240" w:firstLine="648"/>
        <w:spacing w:after="0" w:line="375" w:lineRule="auto"/>
        <w:rPr>
          <w:sz w:val="20"/>
          <w:szCs w:val="20"/>
          <w:color w:val="auto"/>
        </w:rPr>
      </w:pPr>
      <w:r>
        <w:rPr>
          <w:rFonts w:ascii="Arial" w:cs="Arial" w:eastAsia="Arial" w:hAnsi="Arial"/>
          <w:sz w:val="18"/>
          <w:szCs w:val="18"/>
          <w:color w:val="auto"/>
        </w:rPr>
        <w:t xml:space="preserve">For information about income taxes, deferred tax assets and liabilities, and uncertain tax benefits, see Footnote 6 “Income Taxes.” </w:t>
      </w:r>
      <w:r>
        <w:rPr>
          <w:rFonts w:ascii="Arial" w:cs="Arial" w:eastAsia="Arial" w:hAnsi="Arial"/>
          <w:sz w:val="18"/>
          <w:szCs w:val="18"/>
          <w:b w:val="1"/>
          <w:bCs w:val="1"/>
          <w:i w:val="1"/>
          <w:iCs w:val="1"/>
          <w:color w:val="auto"/>
        </w:rPr>
        <w:t>New Accounting Standards</w:t>
      </w:r>
    </w:p>
    <w:p>
      <w:pPr>
        <w:spacing w:after="0" w:line="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the first quarter of 2020, we adopted Accounting Standards Update (“ASU”) 2016-13, which replaced the incurred loss impairment methodology in then-current GAAP with a methodology that reflects expected credit losses and requires consideration of a broader range of reasonable and supportable information to inform credit loss estimates. The update was intended to provide financial statement users with more decision-useful information about the expected credit losses on financial instruments and other commitments to extend credit held by a reporting entity at each reporting date. The current expected credit loss model provides that an initial estimate of expected credit losses over the contractual life of the financial instrument is reflected in the allowance for credit losses and any changes to that estimate are recognized as adjustments to the allowance. ASU 2016-13 did not have a material impact on our financial statements or disclosures upon adoption, primarily as most of our vacation ownership notes receivable are recorded net of an allowance that is calculated in accordance with ASC 606.</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originated vacation ownership notes receivable are recorded net of a reserve that is calculated in accordance with ASC 606, so there was no material impact upon adoption of ASU 2016-13. Our acquired vacation ownership notes receivable have historically been accounted for using the expected cash flow method of recognizing discount accretion based on the expected cash flows of those instruments. Upon adoption of ASU 2016-13, we established a reserve for credit losses and a corresponding increase in the book value of the acquired vacation ownership notes receivable, resulting in no impact to the recorded balance. In addition, we recorded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 For additional information on our vacation ownership notes receivable, including information on the related reserves, see Footnote 7 “Vacation Ownership Notes Receivable.”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Accounts receivable include amounts due from customers, principally credit card receivables, and amounts due from resort developers, members and managed properties. These amounts are typically due within one year and are presented net of a reserve for credit losses. Subsequent to our adoption of ASU 2016-13, we estimate expected credit losses for our accounts receivable by considering a number of factors, including previous loss history and the condition of the general economy, as well as any other significant events that may impact the collectibility of the specific accounts receivable. Accounts receivable also includes interest receivable on vacation ownership notes receivable. Write-offs of interest receivable are recorded as a reversal of previously recorded interest income. There was no material impact to our financial statements or disclosures as a result of our adoption of ASU 2016-13 for accounts receivable, and no material change in our reserve for credit losses during 2020.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ind w:right="160" w:firstLine="648"/>
        <w:spacing w:after="0" w:line="277" w:lineRule="auto"/>
        <w:rPr>
          <w:sz w:val="20"/>
          <w:szCs w:val="20"/>
          <w:color w:val="auto"/>
        </w:rPr>
      </w:pPr>
      <w:r>
        <w:rPr>
          <w:rFonts w:ascii="Arial" w:cs="Arial" w:eastAsia="Arial" w:hAnsi="Arial"/>
          <w:sz w:val="18"/>
          <w:szCs w:val="18"/>
          <w:color w:val="auto"/>
        </w:rPr>
        <w:t xml:space="preserve">Accounting Standards Update 2020-09 – </w:t>
      </w:r>
      <w:r>
        <w:rPr>
          <w:rFonts w:ascii="Arial" w:cs="Arial" w:eastAsia="Arial" w:hAnsi="Arial"/>
          <w:sz w:val="18"/>
          <w:szCs w:val="18"/>
          <w:i w:val="1"/>
          <w:iCs w:val="1"/>
          <w:color w:val="auto"/>
        </w:rPr>
        <w:t>“Debt (Topic 470) – Amendments to SEC Paragraphs Pursuant to SEC Release No. 33-10762”</w:t>
      </w:r>
      <w:r>
        <w:rPr>
          <w:rFonts w:ascii="Arial" w:cs="Arial" w:eastAsia="Arial" w:hAnsi="Arial"/>
          <w:sz w:val="18"/>
          <w:szCs w:val="18"/>
          <w:color w:val="auto"/>
        </w:rPr>
        <w:t xml:space="preserve"> (“ASU 2020-09”)</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March 2020, the Securities and Exchange Commission (the “SEC”) issued a final rule which simplifies the disclosure requirements related to registered securities under Rule 3-10 of Regulation S-X (the “SEC Final Rule”). The SEC Final Rule replaces the requirement for a parent entity to provide detailed disclosures regarding subsidiary issuers and guarantors of registered debt offerings within the footnotes to the consolidated financial statements. Under the SEC Final Rule, a parent entity is required to present summarized financial information of the issuers’ and guarantors’ balance sheets and statements of operations on a consolidated basis. It also requires qualitative disclosures with respect to information about guarantors and the terms and conditions of guarantees. These disclosures may be provided outside the footnotes to a company’s consolidated financial statements. In October 2020, the Financial Accounting Standards Board (“FASB”) issued ASU 2020-09 to reflect the SEC’s new disclosure rules on guaranteed debt securities offerings. We early adopted the reporting requirements of the SEC Final Rule as reflected in ASU 2020-09 in the first quarter of 2020 and elected to provide these disclosures within Management’s Discussion and Analysis of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December 2019, the FASB issued ASU 2019-12, which amends and simplifies existing guidance in an effort to reduce the complexity of accounting for income taxes while maintaining or enhancing the helpfulness of information provided to financial statement users. This update is effective for fiscal years beginning after December 15, 2020, including interim periods therein, with early adoption permitted. We expect to adopt ASU 2019-12 commencing in fiscal year 2021 and continue to evaluate the impact that adoption of this update will have on our financial statements and disclosures. We do not anticipate a material change upon adoption.</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80"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p>
    <w:p>
      <w:pPr>
        <w:spacing w:after="0" w:line="1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with early adoption permitted for fiscal years beginning after December 15, 2020. This update may be applied retrospectively or on a modified retrospective basis with the cumulative effect recognized as an adjustment to the opening balance of retained earnings on the date of adoption. Additionally, this update provides for a one-time irrevocable election by entities to apply the fair value option in accordance with ASC Topic 825-10, “</w:t>
      </w:r>
      <w:r>
        <w:rPr>
          <w:rFonts w:ascii="Arial" w:cs="Arial" w:eastAsia="Arial" w:hAnsi="Arial"/>
          <w:sz w:val="17"/>
          <w:szCs w:val="17"/>
          <w:i w:val="1"/>
          <w:iCs w:val="1"/>
          <w:color w:val="auto"/>
        </w:rPr>
        <w:t>Financial Instruments - Overall,</w:t>
      </w:r>
      <w:r>
        <w:rPr>
          <w:rFonts w:ascii="Arial" w:cs="Arial" w:eastAsia="Arial" w:hAnsi="Arial"/>
          <w:sz w:val="17"/>
          <w:szCs w:val="17"/>
          <w:color w:val="auto"/>
        </w:rPr>
        <w:t>” for any liability-classified convertible securities, with the difference between the carrying amount and the fair value recorded as a cumulative-effect adjustment to opening retained earnings as of the beginning of the period of adoption. We are evaluating the impact that ASU 2020-06, including the timing of implementation, will have on our financial statements and disclosures. In accordance with ASU 2020-06, we will be required to calculate diluted earnings per share under the “if-converted” method. Under the “if-converted” method, diluted earnings per share would generally be calculated assuming that all of the convertible notes were converted solely into shares of common stock at the beginning of the reporting period, unless the result would be anti-dilutive. The application of the “if-converted” method may reduce our reported diluted earnings per share.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3. RESTRUCTURING CHARGES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result of the COVID-19 pandemic, in September 2020 a workforce reduction plan was approved, which impacted approximately 3,000 associates beginning in November 2020. We expect that we will incur approximately $30 to $35 million in total restructuring and related charges, primarily related to employee severance and benefit costs. In connection with this plan, we have recorded the following on our Income Statement for the year ended December 31, 2020:</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3300" w:type="dxa"/>
            <w:vAlign w:val="bottom"/>
            <w:vMerge w:val="restart"/>
          </w:tcPr>
          <w:p>
            <w:pPr>
              <w:ind w:left="1660"/>
              <w:spacing w:after="0"/>
              <w:rPr>
                <w:sz w:val="20"/>
                <w:szCs w:val="20"/>
                <w:color w:val="auto"/>
              </w:rPr>
            </w:pPr>
            <w:r>
              <w:rPr>
                <w:rFonts w:ascii="Arial" w:cs="Arial" w:eastAsia="Arial" w:hAnsi="Arial"/>
                <w:sz w:val="16"/>
                <w:szCs w:val="16"/>
                <w:b w:val="1"/>
                <w:bCs w:val="1"/>
                <w:color w:val="auto"/>
              </w:rPr>
              <w:t>Vacation Ownership</w:t>
            </w: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rPr>
              <w:t>Exchange &amp; Third-</w:t>
            </w:r>
          </w:p>
        </w:tc>
        <w:tc>
          <w:tcPr>
            <w:tcW w:w="2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Corporate and Other</w:t>
            </w:r>
          </w:p>
        </w:tc>
        <w:tc>
          <w:tcPr>
            <w:tcW w:w="800" w:type="dxa"/>
            <w:vAlign w:val="bottom"/>
            <w:vMerge w:val="restart"/>
          </w:tcPr>
          <w:p>
            <w:pPr>
              <w:ind w:left="460"/>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300" w:type="dxa"/>
            <w:vAlign w:val="bottom"/>
            <w:vMerge w:val="continue"/>
          </w:tcPr>
          <w:p>
            <w:pPr>
              <w:spacing w:after="0"/>
              <w:rPr>
                <w:sz w:val="18"/>
                <w:szCs w:val="18"/>
                <w:color w:val="auto"/>
              </w:rPr>
            </w:pPr>
          </w:p>
        </w:tc>
        <w:tc>
          <w:tcPr>
            <w:tcW w:w="1760" w:type="dxa"/>
            <w:vAlign w:val="bottom"/>
          </w:tcPr>
          <w:p>
            <w:pPr>
              <w:ind w:left="220"/>
              <w:spacing w:after="0"/>
              <w:rPr>
                <w:sz w:val="20"/>
                <w:szCs w:val="20"/>
                <w:color w:val="auto"/>
              </w:rPr>
            </w:pPr>
            <w:r>
              <w:rPr>
                <w:rFonts w:ascii="Arial" w:cs="Arial" w:eastAsia="Arial" w:hAnsi="Arial"/>
                <w:sz w:val="16"/>
                <w:szCs w:val="16"/>
                <w:b w:val="1"/>
                <w:bCs w:val="1"/>
                <w:color w:val="auto"/>
              </w:rPr>
              <w:t>Party Management</w:t>
            </w:r>
          </w:p>
        </w:tc>
        <w:tc>
          <w:tcPr>
            <w:tcW w:w="2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reimbursement revenues</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reimbursement expenses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57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432"/>
        </w:trPr>
        <w:tc>
          <w:tcPr>
            <w:tcW w:w="40" w:type="dxa"/>
            <w:vAlign w:val="bottom"/>
          </w:tcPr>
          <w:p>
            <w:pPr>
              <w:spacing w:after="0"/>
              <w:rPr>
                <w:sz w:val="24"/>
                <w:szCs w:val="24"/>
                <w:color w:val="auto"/>
              </w:rPr>
            </w:pPr>
          </w:p>
        </w:tc>
        <w:tc>
          <w:tcPr>
            <w:tcW w:w="8320" w:type="dxa"/>
            <w:vAlign w:val="bottom"/>
            <w:gridSpan w:val="8"/>
          </w:tcPr>
          <w:p>
            <w:pPr>
              <w:ind w:left="620"/>
              <w:spacing w:after="0"/>
              <w:rPr>
                <w:sz w:val="20"/>
                <w:szCs w:val="20"/>
                <w:color w:val="auto"/>
              </w:rPr>
            </w:pPr>
            <w:r>
              <w:rPr>
                <w:rFonts w:ascii="Arial" w:cs="Arial" w:eastAsia="Arial" w:hAnsi="Arial"/>
                <w:sz w:val="18"/>
                <w:szCs w:val="18"/>
                <w:color w:val="auto"/>
                <w:w w:val="92"/>
              </w:rPr>
              <w:t>The following table presents our restructuring reserve activity during the year ended December 31, 2020: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Employee Termination Costs</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Charges</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Payments</w:t>
            </w: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New York</w:t>
      </w:r>
    </w:p>
    <w:p>
      <w:pPr>
        <w:spacing w:after="0" w:line="11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Other assets ($22 million) and Property and equipment ($67 million).</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20 “Variable Interest Entities” for information on our remaining commitment to purchase future inventory and additional information on our activities relating to the VIE involved in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20 “Variable Interest Entities” for information on our remaining commitment to purchase future inventory and additional information on our activities relating to the VIE involved in this transaction.</w:t>
      </w:r>
    </w:p>
    <w:p>
      <w:pPr>
        <w:spacing w:after="0" w:line="62"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During the third quarter of 2019, we acquired 78 completed vacation ownership units and a sales gallery located at our Marriott Vacation Club Pulse, San Francisco resort for $58 million. We accounted for the transaction as an asset acquisition with the purchase price allocated to Inventory ($48 million) and Property and equipment ($10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fourth quarter of 2018, we acquired 92 completed vacation ownership units for $83 million and during the first quarter of 2018, we acquired 20 completed vacation ownership units for $24 million. Both transactions were accounted for as asset acquisitions with all of the purchase price allocated to Inventory.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ILG Acquisition</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completed the acquisition of ILG on September 1, 2018. The following table presents the fair value of each type of consideration transferred in the ILG Acquisition, as finalized at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Equivalent shares of Marriott Vacations Worldwide common stock issued in exchange for ILG outstanding shares</w:t>
            </w:r>
          </w:p>
        </w:tc>
        <w:tc>
          <w:tcPr>
            <w:tcW w:w="8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Marriott Vacations Worldwide common stock price per share as of Acquisition Date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r>
      <w:tr>
        <w:trPr>
          <w:trHeight w:val="22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Marriott Vacations Worldwide common stock issued in exchange for ILG outstanding shares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Cash consideration to ILG shareholders, net of cash acquired of $154 million</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ILG equity-based awards attributed to pre-combination service</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Total consideration transferred, net of cash acquired</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4"/>
        </w:trPr>
        <w:tc>
          <w:tcPr>
            <w:tcW w:w="902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4,217</w:t>
            </w:r>
          </w:p>
        </w:tc>
      </w:tr>
    </w:tbl>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of Assets Acquired and Liabilities Assumed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the assets that we acquired and the liabilities that we assumed on the Acquisition Date.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71"/>
              <w:spacing w:after="0"/>
              <w:rPr>
                <w:sz w:val="20"/>
                <w:szCs w:val="20"/>
                <w:color w:val="auto"/>
              </w:rPr>
            </w:pPr>
            <w:r>
              <w:rPr>
                <w:rFonts w:ascii="Arial" w:cs="Arial" w:eastAsia="Arial" w:hAnsi="Arial"/>
                <w:sz w:val="16"/>
                <w:szCs w:val="16"/>
                <w:b w:val="1"/>
                <w:bCs w:val="1"/>
                <w:color w:val="auto"/>
              </w:rPr>
              <w:t>September 1, 2018</w:t>
            </w:r>
          </w:p>
        </w:tc>
      </w:t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(as finalized)</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from VIEs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9"/>
                <w:szCs w:val="9"/>
                <w:color w:val="auto"/>
              </w:rPr>
              <w:t>(1)</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r>
      <w:tr>
        <w:trPr>
          <w:trHeight w:val="248"/>
        </w:trPr>
        <w:tc>
          <w:tcPr>
            <w:tcW w:w="9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line="23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Goodwill is calculated as total consideration transferred, net of cash acquired, less identified net assets acquired and it represents the value that we expect to obtain from synergies and growth opportunities from our combined operations, and is not deductible for tax purposes. See Footnote 12 “Goodwill” for additional information on our goodwill.</w:t>
      </w:r>
    </w:p>
    <w:p>
      <w:pPr>
        <w:spacing w:after="0" w:line="20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valued acquired vacation ownership notes receivables, which consisted of loans to customers who purchased vacation ownership products and chose to finance their purchase, using a discounted cash flow model, under which we calculated a present value of expected future cash flows over the term of the respective vacation ownership notes receivable (Level 3). We valued acquired inventory, which consisted of completed unsold VOIs and vacation ownership projects under construction, using an income approach, which is primarily based on significant Level 3 assumptions, such as estimates of future income growth, capitalization rates, discount rates and capital expenditure needs of the relevant properties. We valued acquired property and equipment, which included four owned hotels, using a combination of the income, cost, and market approaches, which are primarily based on significant Level 3 assumptions, such as estimates of future income growth, capitalization rates, discount rates and capital expenditure needs of the hotels. We valued deferred revenue, primarily related to membership fees, which are deferred and recognized over the terms of the applicable memberships, utilizing Level 3 inputs based on a review of existing deferred revenue balances against legal performance obligations. We estimated deferred income taxes based on statutory rates in the jurisdictions of the legal entities where the acquired assets and liabilities are recorded.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94" w:name="page95"/>
    <w:bookmarkEnd w:id="94"/>
    <w:p>
      <w:pPr>
        <w:ind w:firstLine="648"/>
        <w:spacing w:after="0" w:line="273" w:lineRule="auto"/>
        <w:rPr>
          <w:sz w:val="20"/>
          <w:szCs w:val="20"/>
          <w:color w:val="auto"/>
        </w:rPr>
      </w:pPr>
      <w:r>
        <w:rPr>
          <w:rFonts w:ascii="Arial" w:cs="Arial" w:eastAsia="Arial" w:hAnsi="Arial"/>
          <w:sz w:val="17"/>
          <w:szCs w:val="17"/>
          <w:color w:val="auto"/>
        </w:rPr>
        <w:t>We valued the senior unsecured notes assumed using a quoted market price, which is considered a Level 2 input as it is observable in the market; however these notes had only a limited trading volume and as such this fair value estimate is not necessarily indicative of the value at which these notes could be retired or transferred. The carrying value of the outstanding balance on the revolving credit facility that was acquired, which was extinguished and repaid in full upon completion of the ILG Acquisition, approximated fair value, as the contractual interest rate was variable plus an applicable margin based credit rating (Level 3 input). We valued assumed securitized debt from VIEs using a discounted cash flow model. The significant assumptions in our analysis include default rates, prepayment rates, bond interest rates and other structural factors (Level 3 inputs).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values ILG’s identified intangible assets and their related estimated useful lives as of the Acquisition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6"/>
                <w:szCs w:val="16"/>
                <w:color w:val="auto"/>
              </w:rPr>
            </w:pPr>
          </w:p>
        </w:tc>
        <w:tc>
          <w:tcPr>
            <w:tcW w:w="190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1, 2018</w:t>
            </w:r>
          </w:p>
        </w:tc>
        <w:tc>
          <w:tcPr>
            <w:tcW w:w="1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(as finalized)</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 relationships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20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Management contracts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15 to 25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contracts</w:t>
            </w:r>
            <w:r>
              <w:rPr>
                <w:rFonts w:ascii="Arial" w:cs="Arial" w:eastAsia="Arial" w:hAnsi="Arial"/>
                <w:sz w:val="9"/>
                <w:szCs w:val="9"/>
                <w:color w:val="auto"/>
              </w:rPr>
              <w:t>(1)</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indefinite</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indefinite</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 w:hanging="652"/>
        <w:spacing w:after="0" w:line="238" w:lineRule="auto"/>
        <w:tabs>
          <w:tab w:leader="none" w:pos="6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These management contracts were entirely related to the VRI Europe business, which we disposed of in the fourth quarter of 2018. The indefinite-lived management contracts, by their terms, continued beyond the then foreseeable horizon. There were no legal, regulatory, contractual, competitive, economic or other factors which limited the period of time over which these resort management contracts were expected to contribute future cash flows.</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valued member relationships and management contracts using the multi-period excess earnings method, which is a variation of the income approach. This method estimates an intangible asset’s value based on the present value of the incremental after-tax cash flows attributable to the intangible asset. We valued trade names and trademarks using the relief-from-royalty method, which applies an estimated royalty rate to forecasted future cash flows, discounted to present value. These valuation approaches utilize Level 3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following unaudited pro forma information presents the combined results of operations of Marriott Vacations Worldwide and ILG as if we had completed the ILG Acquisition on December 30, 2016, the last day of our 2016 fiscal year, but using our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 The unaudited pro forma results below include $54 million of ILG acquisition-related costs.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2018</w:t>
            </w:r>
          </w:p>
        </w:tc>
      </w:tr>
      <w:tr>
        <w:trPr>
          <w:trHeight w:val="22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SHAREHOLDERS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850"/>
        </w:trPr>
        <w:tc>
          <w:tcPr>
            <w:tcW w:w="9140" w:type="dxa"/>
            <w:vAlign w:val="bottom"/>
          </w:tcPr>
          <w:p>
            <w:pPr>
              <w:ind w:left="554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9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third quarter of 2020, we recorded a loss of $5 million in the (Losses) gains and other (expense) income, net line on our Income Statement for the year ended December 31, 2020 relating to the redemption of our interest in a joint venture in our Exchange &amp; Third-Party Management segment which was consolidated under the voting interest model. We received nominal cash proceeds and a note receivable which we measured at a fair value of $1 million using Level 3 inputs.</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during the third quarter of 2020, we disposed of excess Vacation Ownership segment land parcels in Orlando, Florida and Steamboat Springs, Colorado for combined proceeds of $15 million, as part of our strategic decision to reduce holdings in markets where we have excess supply, as discussed further below. We recorded a combined net gain of $6 million in the (Losses) gains and other (expense) income, net line on our Income Statement for year ended December 31, 2020 relating to these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Strategy Change</w:t>
      </w:r>
    </w:p>
    <w:p>
      <w:pPr>
        <w:spacing w:after="0" w:line="11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As a result of the ILG Acquisition, we performed a comprehensive review to evaluate the strategic fit of the land holdings and operating hotels in our Vacation Ownership segment. A key focus of our comprehensive review was to evaluate opportunities to reduce holdings in markets where we have excess supply so that future inventory spend can be focused on markets that create incremental cost-effective sales locations in areas of high customer demand. We evaluated each asset in the context of its current and anticipated product form, our inventory needs and our operating strategy.</w:t>
      </w:r>
    </w:p>
    <w:p>
      <w:pPr>
        <w:spacing w:after="0" w:line="4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a result of the change in our development strategy, in the third quarter of 2019, we recorded a non-cash impairment charge of $72 million, of which $61 million related to land and land improvements associated with future phases of three existing resorts, primarily attributable to the fact that the book values of these assets include the historical allocations of common costs incurred when we built the infrastructure of these resorts, $9 million related to a land parcel held for future development and $2 million related to an ancillary business, as the book values of these assets were in excess of the estimated fair values of these assets. We also reviewed the remainder of the assets identified for disposition and determined that no other impairment charges were necessary.</w:t>
      </w:r>
    </w:p>
    <w:p>
      <w:pPr>
        <w:spacing w:after="0" w:line="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used a combination of the market and income approaches to estimate the fair value of these assets. Under the market approach, a Level 2 input, fair value is measured through an analysis of sales and offerings of comparable property which are adjusted to reflect differences between the asset being valued and the comparable assets, such as location, time and terms of sales, utility and physical characteristics. Under the income approach, a Level 3 input, fair value is measured through a discounted cash flow. Under the income approach, we contemplated alternative uses to comply with the highest and best use provisions of ASC 820.</w:t>
      </w:r>
    </w:p>
    <w:p>
      <w:pPr>
        <w:spacing w:after="0" w:line="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fourth quarter of 2019, we disposed of excess land parcels in Cancun, Mexico and Avon, Colorado for proceeds of $62 million, of which $8 million is deferred until certain conditions associated with the sale have been met, as part of our strategic decision to reduce holdings in markets where we have excess supply. We recorded a combined net gain of $19 million in the (Losses) gains and other (expense) income, net line on our Income Statement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VRI Europe</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part of the ILG Acquisition, we acquired a 75.5 percent interest in VRI Europe Limited (“VRI Europe”), a joint venture comprised of a European vacation ownership resort management business, which was consolidated by MVW under the voting interest model. During the fourth quarter of 2018, we sold our interest in VRI Europe to an affiliate of the noncontrolling interest holder for our book value of $63 million, of which we received $40 million in cash in 2018. In addition, we recorded a receivable of $6 million due in 2019 and a note receivable of $17 million due in 2020 relating to the transaction, both of which were received in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5.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each of the last three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2020</w:t>
            </w:r>
          </w:p>
        </w:tc>
        <w:tc>
          <w:tcPr>
            <w:tcW w:w="1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Ancillary revenues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Management fee 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and other services revenues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Financing</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2019</w:t>
            </w: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Vacation Ownership</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Ancillary revenues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Management fee 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and other services revenues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Management and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60" w:type="dxa"/>
            <w:vAlign w:val="bottom"/>
          </w:tcPr>
          <w:p>
            <w:pPr>
              <w:spacing w:after="0"/>
              <w:rPr>
                <w:sz w:val="13"/>
                <w:szCs w:val="13"/>
                <w:color w:val="auto"/>
              </w:rPr>
            </w:pPr>
          </w:p>
        </w:tc>
        <w:tc>
          <w:tcPr>
            <w:tcW w:w="16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each of the last three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Vacation Ownership</w:t>
            </w:r>
          </w:p>
        </w:tc>
        <w:tc>
          <w:tcPr>
            <w:tcW w:w="100" w:type="dxa"/>
            <w:vAlign w:val="bottom"/>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Exchange &amp; Third-</w:t>
            </w:r>
          </w:p>
        </w:tc>
        <w:tc>
          <w:tcPr>
            <w:tcW w:w="17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Receivables from Contracts with Customers, Contract Assets, &amp; Contract Liabilities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December 31, 2020 or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1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Revenue recognized during the year ended December 31, 2020 that was included in our contract liabilities balance at December 31, 2019 was $355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as revenue in future periods when we perform under the contracts. At December 31, 2020, approximately 82 percent of this amount is expected to be recognized as revenue over the next two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2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Indemnification asset</w:t>
            </w: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tax credit receivable</w:t>
            </w: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3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(losses) earnings before income taxes for the last three fiscal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w w:val="97"/>
              </w:rPr>
              <w:t>($ in millions)</w:t>
            </w:r>
          </w:p>
        </w:tc>
        <w:tc>
          <w:tcPr>
            <w:tcW w:w="5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Non-U.S. jurisdictions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3"/>
            <w:vMerge w:val="restart"/>
          </w:tcPr>
          <w:p>
            <w:pPr>
              <w:ind w:left="660"/>
              <w:spacing w:after="0"/>
              <w:rPr>
                <w:sz w:val="20"/>
                <w:szCs w:val="20"/>
                <w:color w:val="auto"/>
              </w:rPr>
            </w:pPr>
            <w:r>
              <w:rPr>
                <w:rFonts w:ascii="Arial" w:cs="Arial" w:eastAsia="Arial" w:hAnsi="Arial"/>
                <w:sz w:val="18"/>
                <w:szCs w:val="18"/>
                <w:color w:val="auto"/>
                <w:w w:val="92"/>
              </w:rPr>
              <w:t>Our benefit from (provision for) income taxes for the last three years consisted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w w:val="97"/>
              </w:rPr>
              <w:t>($ in millions)</w:t>
            </w:r>
          </w:p>
        </w:tc>
        <w:tc>
          <w:tcPr>
            <w:tcW w:w="57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U.S. Federal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U.S. 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Non-U.S.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(77)</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20" w:type="dxa"/>
            <w:vAlign w:val="bottom"/>
            <w:shd w:val="clear" w:color="auto" w:fill="CCEEFF"/>
          </w:tcPr>
          <w:p>
            <w:pPr>
              <w:spacing w:after="0"/>
              <w:rPr>
                <w:sz w:val="22"/>
                <w:szCs w:val="22"/>
                <w:color w:val="auto"/>
              </w:rPr>
            </w:pPr>
          </w:p>
        </w:tc>
        <w:tc>
          <w:tcPr>
            <w:tcW w:w="5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Deferred</w:t>
            </w: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U.S. 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U.S. State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Arial" w:cs="Arial" w:eastAsia="Arial" w:hAnsi="Arial"/>
                <w:sz w:val="18"/>
                <w:szCs w:val="18"/>
                <w:color w:val="auto"/>
              </w:rPr>
              <w:t>– Non-U.S.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Borders>
              <w:top w:val="single" w:sz="8" w:color="CCEEFF"/>
            </w:tcBorders>
            <w:shd w:val="clear" w:color="auto" w:fill="CCEEFF"/>
          </w:tcPr>
          <w:p>
            <w:pPr>
              <w:spacing w:after="0"/>
              <w:rPr>
                <w:sz w:val="19"/>
                <w:szCs w:val="19"/>
                <w:color w:val="auto"/>
              </w:rPr>
            </w:pPr>
          </w:p>
        </w:tc>
        <w:tc>
          <w:tcPr>
            <w:tcW w:w="57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Law Update</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considered the income tax accounting and disclosure implications of the relief provided by the Coronavirus Aid, Relief, and Economic Security Act (the “CARES Act”) enacted on March 27, 2020. As of December 31, 2020, we evaluated the income tax provisions of the CARES Act and have determined there to be a 6.0 percent benefit to the December 31, 2020 tax rate. We will continue to evaluate the income tax provisions of the CARES Act and monitor the developments in the jurisdictions where we have significant operations for tax law changes that could have additional income tax accounting and disclosure implications.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U.S. statutory income tax rate to our effective income tax rate: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statutory income tax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U.S. state income taxes, net of U.S. federal tax benefit</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Section 162(m) limitation</w:t>
            </w:r>
            <w:r>
              <w:rPr>
                <w:rFonts w:ascii="Arial" w:cs="Arial" w:eastAsia="Arial" w:hAnsi="Arial"/>
                <w:sz w:val="9"/>
                <w:szCs w:val="9"/>
                <w:color w:val="auto"/>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9"/>
                <w:szCs w:val="9"/>
                <w:color w:val="auto"/>
              </w:rPr>
              <w:t>(2)</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4.7</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r>
              <w:rPr>
                <w:rFonts w:ascii="Arial" w:cs="Arial" w:eastAsia="Arial" w:hAnsi="Arial"/>
                <w:sz w:val="9"/>
                <w:szCs w:val="9"/>
                <w:color w:val="auto"/>
              </w:rPr>
              <w:t>(3)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Impact related to the CARES Act of 2020</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related to the Tax Cuts and Jobs Act of 2017</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Foreign tax rate changes</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(0.1)</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income (loss)</w:t>
            </w:r>
            <w:r>
              <w:rPr>
                <w:rFonts w:ascii="Arial" w:cs="Arial" w:eastAsia="Arial" w:hAnsi="Arial"/>
                <w:sz w:val="9"/>
                <w:szCs w:val="9"/>
                <w:color w:val="auto"/>
              </w:rPr>
              <w:t>(4)</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(6.3)</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9"/>
                <w:szCs w:val="9"/>
                <w:color w:val="auto"/>
              </w:rPr>
              <w:t>(5)</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8.6</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r>
      <w:tr>
        <w:trPr>
          <w:trHeight w:val="223"/>
        </w:trPr>
        <w:tc>
          <w:tcPr>
            <w:tcW w:w="6680" w:type="dxa"/>
            <w:vAlign w:val="bottom"/>
          </w:tcPr>
          <w:p>
            <w:pPr>
              <w:ind w:left="220"/>
              <w:spacing w:after="0"/>
              <w:rPr>
                <w:sz w:val="20"/>
                <w:szCs w:val="20"/>
                <w:color w:val="auto"/>
              </w:rPr>
            </w:pPr>
            <w:r>
              <w:rPr>
                <w:rFonts w:ascii="Arial" w:cs="Arial" w:eastAsia="Arial" w:hAnsi="Arial"/>
                <w:sz w:val="18"/>
                <w:szCs w:val="18"/>
                <w:color w:val="auto"/>
              </w:rPr>
              <w:t>Effective rate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24.6%</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36.9%</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49.8%</w:t>
            </w: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00"/>
          </w:cols>
          <w:pgMar w:left="320" w:top="1161" w:right="37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2018 increase is attributable to non-deductible executive compensation under provisions of the Tax Cuts and Jobs Act of 2017.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Attributed to non-deductible transaction costs incurred as a result of the ILG Acquisition.</w:t>
      </w:r>
    </w:p>
    <w:p>
      <w:pPr>
        <w:spacing w:after="0" w:line="200" w:lineRule="exact"/>
        <w:rPr>
          <w:sz w:val="20"/>
          <w:szCs w:val="20"/>
          <w:color w:val="auto"/>
        </w:rPr>
      </w:pPr>
    </w:p>
    <w:p>
      <w:pPr>
        <w:sectPr>
          <w:pgSz w:w="11900" w:h="16838" w:orient="portrait"/>
          <w:cols w:equalWidth="0" w:num="2">
            <w:col w:w="140" w:space="500"/>
            <w:col w:w="10560"/>
          </w:cols>
          <w:pgMar w:left="320" w:top="1161" w:right="37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jc w:val="both"/>
        <w:ind w:left="20" w:right="160" w:hanging="11"/>
        <w:spacing w:after="0" w:line="263" w:lineRule="auto"/>
        <w:rPr>
          <w:sz w:val="20"/>
          <w:szCs w:val="20"/>
          <w:color w:val="auto"/>
        </w:rPr>
      </w:pPr>
      <w:r>
        <w:rPr>
          <w:rFonts w:ascii="Arial" w:cs="Arial" w:eastAsia="Arial" w:hAnsi="Arial"/>
          <w:sz w:val="18"/>
          <w:szCs w:val="18"/>
          <w:color w:val="auto"/>
        </w:rPr>
        <w:t>The 2020 change is primarily attributable to non-deductible goodwill impairment recorded due to the impact of COVID-19. For 2019 and 2018, primarily due to non-deductible meal and entertainment expenses and new foreign tax provisions, under provisions of the Tax Cuts and Jobs Act of 2017.</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Attributed to the difference between U.S. and foreign income tax rates and other foreign adjustments.</w:t>
      </w:r>
    </w:p>
    <w:p>
      <w:pPr>
        <w:spacing w:after="0" w:line="63" w:lineRule="exact"/>
        <w:rPr>
          <w:sz w:val="20"/>
          <w:szCs w:val="20"/>
          <w:color w:val="auto"/>
        </w:rPr>
      </w:pPr>
    </w:p>
    <w:p>
      <w:pPr>
        <w:ind w:left="20" w:hanging="11"/>
        <w:spacing w:after="0" w:line="296" w:lineRule="auto"/>
        <w:rPr>
          <w:sz w:val="20"/>
          <w:szCs w:val="20"/>
          <w:color w:val="auto"/>
        </w:rPr>
      </w:pPr>
      <w:r>
        <w:rPr>
          <w:rFonts w:ascii="Arial" w:cs="Arial" w:eastAsia="Arial" w:hAnsi="Arial"/>
          <w:sz w:val="16"/>
          <w:szCs w:val="16"/>
          <w:color w:val="auto"/>
        </w:rPr>
        <w:t>In 2020, primarily attributable to the increase of the valuation allowance on Spanish and Mexican entities and to losses and future deductions in foreign jurisdictions for which a tax benefit has not been recognized through establishment of valuation allowances. In 2019, primarily attributable to foreign tax credit carryforwards in the branch and treaty baskets and losses and future deductions in foreign jurisdictions for which a tax benefit has not been recognized through establishment of valuation allowances. In 2018, primarily attributable to losses and future deductions in foreign jurisdictions for which a tax benefit has not been recognized through establishment of valuation allowances.</w:t>
      </w:r>
    </w:p>
    <w:p>
      <w:pPr>
        <w:spacing w:after="0" w:line="161" w:lineRule="exact"/>
        <w:rPr>
          <w:sz w:val="20"/>
          <w:szCs w:val="20"/>
          <w:color w:val="auto"/>
        </w:rPr>
      </w:pPr>
    </w:p>
    <w:p>
      <w:pPr>
        <w:sectPr>
          <w:pgSz w:w="11900" w:h="16838" w:orient="portrait"/>
          <w:cols w:equalWidth="0" w:num="2">
            <w:col w:w="140" w:space="500"/>
            <w:col w:w="10580"/>
          </w:cols>
          <w:pgMar w:left="320" w:top="943" w:right="359" w:bottom="1440" w:gutter="0" w:footer="0" w:header="0"/>
        </w:sectPr>
      </w:pPr>
    </w:p>
    <w:p>
      <w:pPr>
        <w:ind w:right="120" w:firstLine="648"/>
        <w:spacing w:after="0" w:line="277" w:lineRule="auto"/>
        <w:rPr>
          <w:sz w:val="20"/>
          <w:szCs w:val="20"/>
          <w:color w:val="auto"/>
        </w:rPr>
      </w:pPr>
      <w:r>
        <w:rPr>
          <w:rFonts w:ascii="Arial" w:cs="Arial" w:eastAsia="Arial" w:hAnsi="Arial"/>
          <w:sz w:val="18"/>
          <w:szCs w:val="18"/>
          <w:color w:val="auto"/>
        </w:rPr>
        <w:t>For the years ended December 31, 2020, 2019 and 2018, the provision for income taxes included $4 million, $2 million, and $2 million of excess tax benefits resulting from equity incentive plan activities,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conduct business in countries that grant “holidays” from income taxes for ten to thirty year periods. These holidays expire through 2034.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finalized our purchase price accounting for the ILG Acquisition during 2019 and established a reserve for non-income tax issues related to Legacy-ILG. As of December 31, 2020, the balance of this reserve was $46 million. We expect that we will be indemnified for liabilities of $8 million in connection with these non-income tax matters pursuant to a Tax Matters Agreement dated May 11, 2016 by and among Starwood Hotels &amp; Resorts Worldwide, Inc. (“Starwood”), Vistana Signature Experiences, Inc. (“Vistana”), and Interval Leisure Group, Inc. (“Interval Leisure Group”), and consequently have recorded a corresponding indemnification asset.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significant components of our deferred tax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2020</w:t>
            </w:r>
          </w:p>
        </w:tc>
        <w:tc>
          <w:tcPr>
            <w:tcW w:w="240" w:type="dxa"/>
            <w:vAlign w:val="bottom"/>
          </w:tcPr>
          <w:p>
            <w:pPr>
              <w:spacing w:after="0"/>
              <w:rPr>
                <w:sz w:val="18"/>
                <w:szCs w:val="18"/>
                <w:color w:val="auto"/>
              </w:rPr>
            </w:pPr>
          </w:p>
        </w:tc>
        <w:tc>
          <w:tcPr>
            <w:tcW w:w="1740" w:type="dxa"/>
            <w:vAlign w:val="bottom"/>
          </w:tcPr>
          <w:p>
            <w:pPr>
              <w:jc w:val="right"/>
              <w:ind w:right="271"/>
              <w:spacing w:after="0"/>
              <w:rPr>
                <w:sz w:val="20"/>
                <w:szCs w:val="20"/>
                <w:color w:val="auto"/>
              </w:rPr>
            </w:pPr>
            <w:r>
              <w:rPr>
                <w:rFonts w:ascii="Arial" w:cs="Arial" w:eastAsia="Arial" w:hAnsi="Arial"/>
                <w:sz w:val="16"/>
                <w:szCs w:val="16"/>
                <w:b w:val="1"/>
                <w:bCs w:val="1"/>
                <w:color w:val="auto"/>
              </w:rPr>
              <w:t>At Year-End 2019</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Net operating loss and capital loss carryforwards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57"/>
        </w:trPr>
        <w:tc>
          <w:tcPr>
            <w:tcW w:w="7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lived intangible assets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Deferred sales of vacation ownership interests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liability</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57"/>
        </w:trPr>
        <w:tc>
          <w:tcPr>
            <w:tcW w:w="7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r>
      <w:tr>
        <w:trPr>
          <w:trHeight w:val="248"/>
        </w:trPr>
        <w:tc>
          <w:tcPr>
            <w:tcW w:w="7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deferred tax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Valuation allowances are provided when it is considered more likely than not that deferred tax assets will not be realized. In 2020 we established an additional valuation allowance of $12 million on foreign net tax assets.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3" w:right="359" w:bottom="1440" w:gutter="0" w:footer="0" w:header="0"/>
          <w:type w:val="continuous"/>
        </w:sectPr>
      </w:pPr>
    </w:p>
    <w:bookmarkStart w:id="101" w:name="page102"/>
    <w:bookmarkEnd w:id="101"/>
    <w:p>
      <w:pPr>
        <w:ind w:right="60" w:firstLine="648"/>
        <w:spacing w:after="0" w:line="259" w:lineRule="auto"/>
        <w:rPr>
          <w:sz w:val="20"/>
          <w:szCs w:val="20"/>
          <w:color w:val="auto"/>
        </w:rPr>
      </w:pPr>
      <w:r>
        <w:rPr>
          <w:rFonts w:ascii="Arial" w:cs="Arial" w:eastAsia="Arial" w:hAnsi="Arial"/>
          <w:sz w:val="18"/>
          <w:szCs w:val="18"/>
          <w:color w:val="auto"/>
        </w:rPr>
        <w:t>We have $70 million of foreign net operating loss carryforwards, some of which begin expiring in 2021; however, a significant portion of these have indefinite carryforward periods. We have $15 million of federal net operating losses and $11 million of state net operating loss carryforwards, none of which will expire within the next five years. We have U.S. federal foreign tax credit carryforwards of $20 million, federal capital loss carryforwards of $1 million, and $11 million of state tax credit carryforwards.</w:t>
      </w:r>
    </w:p>
    <w:p>
      <w:pPr>
        <w:spacing w:after="0" w:line="7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a result of the Tax Cuts and Jobs Act of 2017, distribution of profits from non-U.S. subsidiaries are not expected to cause a significant incremental U.S. tax impact in the future. However, distributions may be subject to non-U.S. withholding taxes if profits are distributed from certain jurisdictions. Our present intention is to indefinitely reinvest residual historic undistributed accumulated earnings associated with certain foreign subsidiaries. We have not provided for deferred taxes on outside basis differences in our investments in these foreign subsidiaries, and such estimates are not practicable to be determined.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at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Increases related to tax positions taken during a prior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as a result of a lapse of the applicable statute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Unrecognized tax benefit 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total unrecognized tax benefits related to uncertain income tax positions, which would affect the effective tax rate if recognized, were $14 million at December 31, 2020 and $21 million at December 31, 2019. The total amount of gross interest and penalties accrued were $25 million at December 31, 2020 and $41 million at December 31, 2019. We anticipate $4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 including accrued interest and penalties are included in other liabilities on the consolidated balance sheet.</w:t>
      </w:r>
    </w:p>
    <w:p>
      <w:pPr>
        <w:spacing w:after="0" w:line="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2012 through 2018. The amount of the unrecognized tax benefit may increase or decrease within the next twelve months as a result of audits or audit settlements.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7.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Acquired</w:t>
            </w:r>
            <w:r>
              <w:rPr>
                <w:rFonts w:ascii="Arial" w:cs="Arial" w:eastAsia="Arial" w:hAnsi="Arial"/>
                <w:sz w:val="9"/>
                <w:szCs w:val="9"/>
                <w:b w:val="1"/>
                <w:bCs w:val="1"/>
                <w:color w:val="auto"/>
                <w:w w:val="94"/>
              </w:rPr>
              <w:t>(1)</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Non-securitized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9"/>
                <w:szCs w:val="9"/>
                <w:color w:val="auto"/>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9"/>
                <w:szCs w:val="9"/>
                <w:color w:val="auto"/>
              </w:rPr>
              <w:t>(2)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3"/>
        </w:trPr>
        <w:tc>
          <w:tcPr>
            <w:tcW w:w="3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1161"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of impairment of $7 million recognized in 2019, prior to the adoption of ASU 2016-13 on January 1, 2020.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Refer to Footnote 8 “Financial Instruments” for discussion of eligibility of our vacation ownership notes receivable for securitization.</w:t>
      </w:r>
    </w:p>
    <w:p>
      <w:pPr>
        <w:spacing w:after="0" w:line="194" w:lineRule="exact"/>
        <w:rPr>
          <w:sz w:val="20"/>
          <w:szCs w:val="20"/>
          <w:color w:val="auto"/>
        </w:rPr>
      </w:pPr>
    </w:p>
    <w:p>
      <w:pPr>
        <w:sectPr>
          <w:pgSz w:w="11900" w:h="16838" w:orient="portrait"/>
          <w:cols w:equalWidth="0" w:num="2">
            <w:col w:w="140" w:space="500"/>
            <w:col w:w="10600"/>
          </w:cols>
          <w:pgMar w:left="320" w:top="1161" w:right="339" w:bottom="1440" w:gutter="0" w:footer="0" w:header="0"/>
          <w:type w:val="continuous"/>
        </w:sectPr>
      </w:pPr>
    </w:p>
    <w:p>
      <w:pPr>
        <w:ind w:right="16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Interest income associated with vacation ownership notes receivable — securitized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line="176" w:lineRule="exact"/>
              <w:rPr>
                <w:sz w:val="20"/>
                <w:szCs w:val="20"/>
                <w:color w:val="auto"/>
              </w:rPr>
            </w:pPr>
            <w:r>
              <w:rPr>
                <w:rFonts w:ascii="Arial" w:cs="Arial" w:eastAsia="Arial" w:hAnsi="Arial"/>
                <w:sz w:val="18"/>
                <w:szCs w:val="18"/>
                <w:color w:val="auto"/>
              </w:rPr>
              <w:t>Interest income associated with vacation ownership notes receivable — non-</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on Vacation Ownership Notes Receivable Reserves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higher actual and projected default activity related predominantly to the COVID-19 pandemic, we evaluated our vacation ownership notes receivable reserves initially using the 2008/2009 financial crisis as a reference point. As a result, we increased our vacation ownership notes receivable reserves by $52 million in the first quarter of 2020. We monitored actual delinquency and default activity throughout the remainder of 2020. Taking into account higher than previously expected default activity experienced, we increased our vacation ownership notes receivable reserves by $17 million in the fourth quarter of 2020. In total, the reserve adjustments made during 2020 were reflected as a $59 million reduction to Sale of vacation ownership products, a $10 million increase in Financing expenses, and a $19 million reduction in Cost of vacation ownership products on our Income Statement for the year ended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Vacation Ownership Notes Receivable</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Acquired vacation ownership notes receivable represent vacation ownership notes receivable acquired as part of the ILG Acquisition. The following table shows future contractual principal payments, as well as interest rates, for our non-securitized and securitized acquired vacation ownership notes receivable at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7"/>
          </w:tcPr>
          <w:p>
            <w:pPr>
              <w:jc w:val="center"/>
              <w:ind w:right="191"/>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Non-Securitized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300" w:type="dxa"/>
            <w:vAlign w:val="bottom"/>
          </w:tcPr>
          <w:p>
            <w:pPr>
              <w:spacing w:after="0"/>
              <w:rPr>
                <w:sz w:val="18"/>
                <w:szCs w:val="18"/>
                <w:color w:val="auto"/>
              </w:rPr>
            </w:pPr>
          </w:p>
        </w:tc>
        <w:tc>
          <w:tcPr>
            <w:tcW w:w="1760" w:type="dxa"/>
            <w:vAlign w:val="bottom"/>
          </w:tcPr>
          <w:p>
            <w:pPr>
              <w:jc w:val="center"/>
              <w:ind w:right="19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2"/>
              <w:spacing w:after="0" w:line="203" w:lineRule="exact"/>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1"/>
              <w:spacing w:after="0" w:line="203" w:lineRule="exact"/>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center"/>
              <w:ind w:right="211"/>
              <w:spacing w:after="0" w:line="203" w:lineRule="exact"/>
              <w:rPr>
                <w:sz w:val="20"/>
                <w:szCs w:val="20"/>
                <w:color w:val="auto"/>
              </w:rPr>
            </w:pPr>
            <w:r>
              <w:rPr>
                <w:rFonts w:ascii="Arial" w:cs="Arial" w:eastAsia="Arial" w:hAnsi="Arial"/>
                <w:sz w:val="18"/>
                <w:szCs w:val="18"/>
                <w:color w:val="auto"/>
                <w:w w:val="90"/>
              </w:rPr>
              <w:t>13.5%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3.0% to 17.9%</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0"/>
              </w:rPr>
              <w:t>6.0% to 15.9%</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right="211"/>
              <w:spacing w:after="0"/>
              <w:rPr>
                <w:sz w:val="20"/>
                <w:szCs w:val="20"/>
                <w:color w:val="auto"/>
              </w:rPr>
            </w:pPr>
            <w:r>
              <w:rPr>
                <w:rFonts w:ascii="Arial" w:cs="Arial" w:eastAsia="Arial" w:hAnsi="Arial"/>
                <w:sz w:val="18"/>
                <w:szCs w:val="18"/>
                <w:color w:val="auto"/>
                <w:w w:val="90"/>
              </w:rPr>
              <w:t>3.0% to 17.9%</w:t>
            </w: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107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03" w:name="page104"/>
    <w:bookmarkEnd w:id="103"/>
    <w:p>
      <w:pPr>
        <w:ind w:left="660"/>
        <w:spacing w:after="0"/>
        <w:rPr>
          <w:sz w:val="20"/>
          <w:szCs w:val="20"/>
          <w:color w:val="auto"/>
        </w:rPr>
      </w:pPr>
      <w:r>
        <w:rPr>
          <w:rFonts w:ascii="Arial" w:cs="Arial" w:eastAsia="Arial" w:hAnsi="Arial"/>
          <w:sz w:val="18"/>
          <w:szCs w:val="18"/>
          <w:color w:val="auto"/>
        </w:rPr>
        <w:t>The following table summarizes the activity related to our acquired vacation ownership notes receivable reserve.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6"/>
          </w:tcPr>
          <w:p>
            <w:pPr>
              <w:jc w:val="center"/>
              <w:ind w:left="832"/>
              <w:spacing w:after="0"/>
              <w:rPr>
                <w:sz w:val="20"/>
                <w:szCs w:val="20"/>
                <w:color w:val="auto"/>
              </w:rPr>
            </w:pPr>
            <w:r>
              <w:rPr>
                <w:rFonts w:ascii="Arial" w:cs="Arial" w:eastAsia="Arial" w:hAnsi="Arial"/>
                <w:sz w:val="16"/>
                <w:szCs w:val="16"/>
                <w:b w:val="1"/>
                <w:bCs w:val="1"/>
                <w:color w:val="auto"/>
                <w:w w:val="90"/>
              </w:rPr>
              <w:t>Acquired Vacation Ownership Notes Receivable Reserve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Non-Securitized</w:t>
            </w:r>
          </w:p>
        </w:tc>
        <w:tc>
          <w:tcPr>
            <w:tcW w:w="3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Securitized</w:t>
            </w:r>
          </w:p>
        </w:tc>
        <w:tc>
          <w:tcPr>
            <w:tcW w:w="840" w:type="dxa"/>
            <w:vAlign w:val="bottom"/>
          </w:tcPr>
          <w:p>
            <w:pPr>
              <w:spacing w:after="0"/>
              <w:rPr>
                <w:sz w:val="18"/>
                <w:szCs w:val="18"/>
                <w:color w:val="auto"/>
              </w:rPr>
            </w:pPr>
          </w:p>
        </w:tc>
        <w:tc>
          <w:tcPr>
            <w:tcW w:w="1220" w:type="dxa"/>
            <w:vAlign w:val="bottom"/>
          </w:tcPr>
          <w:p>
            <w:pPr>
              <w:jc w:val="right"/>
              <w:ind w:right="7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 as reported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Impact of adoption of ASU 2016-13</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 at January 1, 2020</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Securitizations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Clean-up call</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4860" w:type="dxa"/>
            <w:vAlign w:val="bottom"/>
          </w:tcPr>
          <w:p>
            <w:pPr>
              <w:ind w:left="260"/>
              <w:spacing w:after="0" w:line="176" w:lineRule="exact"/>
              <w:rPr>
                <w:sz w:val="20"/>
                <w:szCs w:val="20"/>
                <w:color w:val="auto"/>
              </w:rPr>
            </w:pPr>
            <w:r>
              <w:rPr>
                <w:rFonts w:ascii="Arial" w:cs="Arial" w:eastAsia="Arial" w:hAnsi="Arial"/>
                <w:sz w:val="18"/>
                <w:szCs w:val="18"/>
                <w:color w:val="auto"/>
                <w:w w:val="98"/>
              </w:rPr>
              <w:t>Defaulted vacation ownership notes receivable repurchase</w:t>
            </w:r>
          </w:p>
        </w:tc>
        <w:tc>
          <w:tcPr>
            <w:tcW w:w="30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activity</w:t>
            </w:r>
            <w:r>
              <w:rPr>
                <w:rFonts w:ascii="Arial" w:cs="Arial" w:eastAsia="Arial" w:hAnsi="Arial"/>
                <w:sz w:val="9"/>
                <w:szCs w:val="9"/>
                <w:color w:val="auto"/>
              </w:rPr>
              <w:t>(1)</w:t>
            </w:r>
          </w:p>
        </w:tc>
        <w:tc>
          <w:tcPr>
            <w:tcW w:w="3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2" w:lineRule="exact"/>
        <w:rPr>
          <w:rFonts w:ascii="Arial" w:cs="Arial" w:eastAsia="Arial" w:hAnsi="Arial"/>
          <w:sz w:val="21"/>
          <w:szCs w:val="21"/>
          <w:color w:val="auto"/>
          <w:vertAlign w:val="superscript"/>
        </w:rPr>
      </w:pPr>
    </w:p>
    <w:p>
      <w:pPr>
        <w:ind w:left="660" w:right="40" w:hanging="652"/>
        <w:spacing w:after="0" w:line="227"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$10 million ($8 million non-securitized and $2 million securitized) attributable to the increased reserve as a result of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Originated Vacation Ownership Notes Receivable</w:t>
      </w:r>
    </w:p>
    <w:p>
      <w:pPr>
        <w:spacing w:after="0" w:line="117"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non-securitized and securitized originated vacation ownership notes receivable at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7"/>
          </w:tcPr>
          <w:p>
            <w:pPr>
              <w:jc w:val="center"/>
              <w:ind w:right="231"/>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Securitized</w:t>
            </w:r>
          </w:p>
        </w:tc>
        <w:tc>
          <w:tcPr>
            <w:tcW w:w="240" w:type="dxa"/>
            <w:vAlign w:val="bottom"/>
          </w:tcPr>
          <w:p>
            <w:pPr>
              <w:spacing w:after="0"/>
              <w:rPr>
                <w:sz w:val="18"/>
                <w:szCs w:val="18"/>
                <w:color w:val="auto"/>
              </w:rPr>
            </w:pPr>
          </w:p>
        </w:tc>
        <w:tc>
          <w:tcPr>
            <w:tcW w:w="1620" w:type="dxa"/>
            <w:vAlign w:val="bottom"/>
          </w:tcPr>
          <w:p>
            <w:pPr>
              <w:jc w:val="center"/>
              <w:ind w:right="15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center"/>
              <w:ind w:right="252"/>
              <w:spacing w:after="0" w:line="203" w:lineRule="exact"/>
              <w:rPr>
                <w:sz w:val="20"/>
                <w:szCs w:val="20"/>
                <w:color w:val="auto"/>
              </w:rPr>
            </w:pPr>
            <w:r>
              <w:rPr>
                <w:rFonts w:ascii="Arial" w:cs="Arial" w:eastAsia="Arial" w:hAnsi="Arial"/>
                <w:sz w:val="18"/>
                <w:szCs w:val="18"/>
                <w:color w:val="auto"/>
                <w:w w:val="90"/>
              </w:rPr>
              <w:t>12.6%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51"/>
              <w:spacing w:after="0" w:line="203" w:lineRule="exact"/>
              <w:rPr>
                <w:sz w:val="20"/>
                <w:szCs w:val="20"/>
                <w:color w:val="auto"/>
              </w:rPr>
            </w:pPr>
            <w:r>
              <w:rPr>
                <w:rFonts w:ascii="Arial" w:cs="Arial" w:eastAsia="Arial" w:hAnsi="Arial"/>
                <w:sz w:val="18"/>
                <w:szCs w:val="18"/>
                <w:color w:val="auto"/>
                <w:w w:val="90"/>
              </w:rPr>
              <w:t>12.7%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0.0% to 18.0%</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17.5%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0"/>
              </w:rPr>
              <w:t>0.0% to 18.0%</w:t>
            </w:r>
          </w:p>
        </w:tc>
        <w:tc>
          <w:tcPr>
            <w:tcW w:w="0" w:type="dxa"/>
            <w:vAlign w:val="bottom"/>
          </w:tcPr>
          <w:p>
            <w:pPr>
              <w:spacing w:after="0"/>
              <w:rPr>
                <w:sz w:val="1"/>
                <w:szCs w:val="1"/>
                <w:color w:val="auto"/>
              </w:rPr>
            </w:pPr>
          </w:p>
        </w:tc>
      </w:tr>
      <w:tr>
        <w:trPr>
          <w:trHeight w:val="864"/>
        </w:trPr>
        <w:tc>
          <w:tcPr>
            <w:tcW w:w="54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w w:val="93"/>
              </w:rPr>
              <w:t>102</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526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40" w:type="dxa"/>
            <w:vAlign w:val="bottom"/>
            <w:tcBorders>
              <w:bottom w:val="single" w:sz="8" w:color="auto"/>
            </w:tcBorders>
          </w:tcPr>
          <w:p>
            <w:pPr>
              <w:spacing w:after="0"/>
              <w:rPr>
                <w:sz w:val="18"/>
                <w:szCs w:val="18"/>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520" w:type="dxa"/>
            <w:vAlign w:val="bottom"/>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Increase in vacation ownership notes receivable reserve</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Clean-up call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9"/>
                <w:szCs w:val="9"/>
                <w:color w:val="auto"/>
                <w:w w:val="98"/>
              </w:rPr>
              <w:t>(1)</w:t>
            </w: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Increase in vacation ownership notes receivable reserve</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Clean-up call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9"/>
                <w:szCs w:val="9"/>
                <w:color w:val="auto"/>
                <w:w w:val="98"/>
              </w:rPr>
              <w:t>(1)</w:t>
            </w: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(2)</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Clean-up call</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9"/>
                <w:szCs w:val="9"/>
                <w:color w:val="auto"/>
                <w:w w:val="98"/>
              </w:rPr>
              <w:t>(1)</w:t>
            </w: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67" w:lineRule="auto"/>
        <w:tabs>
          <w:tab w:leader="none" w:pos="64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2" w:lineRule="exact"/>
        <w:rPr>
          <w:rFonts w:ascii="Arial" w:cs="Arial" w:eastAsia="Arial" w:hAnsi="Arial"/>
          <w:sz w:val="21"/>
          <w:szCs w:val="21"/>
          <w:color w:val="auto"/>
          <w:vertAlign w:val="superscript"/>
        </w:rPr>
      </w:pPr>
    </w:p>
    <w:p>
      <w:pPr>
        <w:ind w:left="660" w:right="4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$59 million ($32 million non-securitized and $27 million securitized) attributable to the increased reserve as a result of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Legacy-MVW Vacation Ownership Notes Receivable</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both Legacy-MVW non-securitized and securitized vacation ownership notes receivable, we estimated average remaining default rates of 6.74 percent and 7.04 percent as of December 31, 2020 and December 31, 2019, respectively. A 0.5 percentage point increase in the estimated default rate would have resulted in an increase in the related vacation ownership notes receivable reserve of $6 million and $8 million as of December 31, 2020 and December 31, 2019, respectively.</w:t>
      </w:r>
    </w:p>
    <w:p>
      <w:pPr>
        <w:spacing w:after="0" w:line="79"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7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240"/>
          </w:cols>
          <w:pgMar w:left="320" w:top="1111" w:right="339" w:bottom="1440" w:gutter="0" w:footer="0" w:header="0"/>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year-end 2020</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year-end 2019</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91"/>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-453390</wp:posOffset>
            </wp:positionV>
            <wp:extent cx="7132320"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240" w:space="120"/>
            <w:col w:w="5880"/>
          </w:cols>
          <w:pgMar w:left="320" w:top="1111"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05" w:name="page106"/>
    <w:bookmarkEnd w:id="105"/>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2020 and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14"/>
          </w:tcPr>
          <w:p>
            <w:pPr>
              <w:ind w:left="680"/>
              <w:spacing w:after="0"/>
              <w:rPr>
                <w:sz w:val="20"/>
                <w:szCs w:val="20"/>
                <w:color w:val="auto"/>
              </w:rPr>
            </w:pPr>
            <w:r>
              <w:rPr>
                <w:rFonts w:ascii="Arial" w:cs="Arial" w:eastAsia="Arial" w:hAnsi="Arial"/>
                <w:sz w:val="16"/>
                <w:szCs w:val="16"/>
                <w:b w:val="1"/>
                <w:bCs w:val="1"/>
                <w:color w:val="auto"/>
              </w:rPr>
              <w:t>Legacy-MVW Vacation Ownership Notes Receivable</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6"/>
                <w:szCs w:val="16"/>
                <w:b w:val="1"/>
                <w:bCs w:val="1"/>
                <w:color w:val="auto"/>
              </w:rPr>
              <w:t>As of December 31, 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center"/>
              <w:ind w:left="872"/>
              <w:spacing w:after="0"/>
              <w:rPr>
                <w:sz w:val="20"/>
                <w:szCs w:val="20"/>
                <w:color w:val="auto"/>
              </w:rPr>
            </w:pPr>
            <w:r>
              <w:rPr>
                <w:rFonts w:ascii="Arial" w:cs="Arial" w:eastAsia="Arial" w:hAnsi="Arial"/>
                <w:sz w:val="16"/>
                <w:szCs w:val="16"/>
                <w:b w:val="1"/>
                <w:bCs w:val="1"/>
                <w:color w:val="auto"/>
                <w:w w:val="90"/>
              </w:rPr>
              <w:t>As of December 31, 2019</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6"/>
              </w:rPr>
              <w:t>Securitized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Non-Securitized</w:t>
            </w:r>
          </w:p>
        </w:tc>
        <w:tc>
          <w:tcPr>
            <w:tcW w:w="14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Securitized</w:t>
            </w:r>
          </w:p>
        </w:tc>
        <w:tc>
          <w:tcPr>
            <w:tcW w:w="16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91 – 150 days past due</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220"/>
              <w:spacing w:after="0"/>
              <w:rPr>
                <w:sz w:val="20"/>
                <w:szCs w:val="20"/>
                <w:color w:val="auto"/>
              </w:rPr>
            </w:pPr>
            <w:r>
              <w:rPr>
                <w:rFonts w:ascii="Arial" w:cs="Arial" w:eastAsia="Arial" w:hAnsi="Arial"/>
                <w:sz w:val="18"/>
                <w:szCs w:val="18"/>
                <w:color w:val="auto"/>
              </w:rPr>
              <w:t>Total past due</w:t>
            </w: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220"/>
              <w:spacing w:after="0" w:line="156" w:lineRule="exact"/>
              <w:rPr>
                <w:sz w:val="20"/>
                <w:szCs w:val="20"/>
                <w:color w:val="auto"/>
              </w:rPr>
            </w:pPr>
            <w:r>
              <w:rPr>
                <w:rFonts w:ascii="Arial" w:cs="Arial" w:eastAsia="Arial" w:hAnsi="Arial"/>
                <w:sz w:val="18"/>
                <w:szCs w:val="18"/>
                <w:color w:val="auto"/>
              </w:rPr>
              <w:t>Total vacation ownership notes</w:t>
            </w: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1,050</w:t>
            </w:r>
          </w:p>
        </w:tc>
        <w:tc>
          <w:tcPr>
            <w:tcW w:w="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1,298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receivable</w:t>
            </w:r>
          </w:p>
        </w:tc>
        <w:tc>
          <w:tcPr>
            <w:tcW w:w="5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11220" w:type="dxa"/>
            <w:vAlign w:val="bottom"/>
            <w:gridSpan w:val="23"/>
          </w:tcPr>
          <w:p>
            <w:pPr>
              <w:ind w:left="66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Legacy-MVW vacation ownership notes receivable as of</w:t>
            </w:r>
            <w:r>
              <w:rPr>
                <w:rFonts w:ascii="Arial" w:cs="Arial" w:eastAsia="Arial" w:hAnsi="Arial"/>
                <w:sz w:val="18"/>
                <w:szCs w:val="18"/>
                <w:color w:val="auto"/>
              </w:rPr>
              <w:t xml:space="preserve"> December 31, 2020</w:t>
            </w:r>
            <w:r>
              <w:rPr>
                <w:rFonts w:ascii="Arial" w:cs="Arial" w:eastAsia="Arial" w:hAnsi="Arial"/>
                <w:sz w:val="18"/>
                <w:szCs w:val="18"/>
                <w:color w:val="21252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13"/>
          </w:tcPr>
          <w:p>
            <w:pPr>
              <w:jc w:val="right"/>
              <w:ind w:right="1011"/>
              <w:spacing w:after="0"/>
              <w:rPr>
                <w:sz w:val="20"/>
                <w:szCs w:val="20"/>
                <w:color w:val="auto"/>
              </w:rPr>
            </w:pPr>
            <w:r>
              <w:rPr>
                <w:rFonts w:ascii="Arial" w:cs="Arial" w:eastAsia="Arial" w:hAnsi="Arial"/>
                <w:sz w:val="16"/>
                <w:szCs w:val="16"/>
                <w:b w:val="1"/>
                <w:bCs w:val="1"/>
                <w:color w:val="auto"/>
              </w:rPr>
              <w:t>Legacy-MVW Vacation Ownership Notes Receivable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w w:val="93"/>
              </w:rPr>
              <w:t>Non-Securitized</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Securitized</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 &amp; Before</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Legacy-ILG Vacation Ownership Notes Receivable</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December 31, 2020 and December 31, 2019, the weighted average FICO score within our consolidated Legacy-ILG vacation ownership notes receivable pools was 708 and 712, respectively, based upon the outstanding vacation ownership notes receivable balance at time of origination. The average estimated rate for all future defaults for our Legacy-ILG consolidated outstanding pool of vacation ownership notes receivable was 14.63 percent as of December 31, 2020, and 12.65 percent as of December 31, 2019. A 0.5 percentage point increase in the estimated default rate on the Legacy-ILG vacation ownership notes receivable would have resulted in an increase in the related vacation ownership notes receivable reserve of $3 million and $2 million as of December 31, 2020 and December 31, 2019, respectively.</w:t>
      </w:r>
    </w:p>
    <w:p>
      <w:pPr>
        <w:spacing w:after="0" w:line="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use the origination of the vacation ownership notes receivable by brand (Westin, Sheraton, Hyatt)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interest they have acquired, supplemented by the FICO scores of the customers.</w:t>
      </w:r>
    </w:p>
    <w:p>
      <w:pPr>
        <w:spacing w:after="0" w:line="7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vacation ownership notes receivable, which are vacation ownership notes receivable that are 90 days or more past due.</w:t>
      </w:r>
    </w:p>
    <w:p>
      <w:pPr>
        <w:sectPr>
          <w:pgSz w:w="11900" w:h="16838" w:orient="portrait"/>
          <w:cols w:equalWidth="0" w:num="1">
            <w:col w:w="11240"/>
          </w:cols>
          <w:pgMar w:left="320" w:top="1111" w:right="339" w:bottom="1440" w:gutter="0" w:footer="0" w:header="0"/>
        </w:sect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year-end 2020</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year-end 2019</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Legacy-ILG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91"/>
        </w:trPr>
        <w:tc>
          <w:tcPr>
            <w:tcW w:w="1520" w:type="dxa"/>
            <w:vAlign w:val="bottom"/>
          </w:tcPr>
          <w:p>
            <w:pPr>
              <w:jc w:val="right"/>
              <w:ind w:right="133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480" w:type="dxa"/>
            <w:vAlign w:val="bottom"/>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-453390</wp:posOffset>
            </wp:positionV>
            <wp:extent cx="7132320"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240" w:space="120"/>
            <w:col w:w="5880"/>
          </w:cols>
          <w:pgMar w:left="320" w:top="1111" w:right="339" w:bottom="1440" w:gutter="0" w:footer="0" w:header="0"/>
          <w:type w:val="continuous"/>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06" w:name="page107"/>
    <w:bookmarkEnd w:id="106"/>
    <w:p>
      <w:pPr>
        <w:ind w:right="1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December 31, 2020 and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11"/>
          </w:tcPr>
          <w:p>
            <w:pPr>
              <w:ind w:left="740"/>
              <w:spacing w:after="0"/>
              <w:rPr>
                <w:sz w:val="20"/>
                <w:szCs w:val="20"/>
                <w:color w:val="auto"/>
              </w:rPr>
            </w:pPr>
            <w:r>
              <w:rPr>
                <w:rFonts w:ascii="Arial" w:cs="Arial" w:eastAsia="Arial" w:hAnsi="Arial"/>
                <w:sz w:val="16"/>
                <w:szCs w:val="16"/>
                <w:b w:val="1"/>
                <w:bCs w:val="1"/>
                <w:color w:val="auto"/>
              </w:rPr>
              <w:t>Legacy-ILG Vacation Ownership Notes Receivable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As of December 31, 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371"/>
              <w:spacing w:after="0"/>
              <w:rPr>
                <w:sz w:val="20"/>
                <w:szCs w:val="20"/>
                <w:color w:val="auto"/>
              </w:rPr>
            </w:pPr>
            <w:r>
              <w:rPr>
                <w:rFonts w:ascii="Arial" w:cs="Arial" w:eastAsia="Arial" w:hAnsi="Arial"/>
                <w:sz w:val="16"/>
                <w:szCs w:val="16"/>
                <w:b w:val="1"/>
                <w:bCs w:val="1"/>
                <w:color w:val="auto"/>
                <w:w w:val="90"/>
              </w:rPr>
              <w:t>As of December 31, 2019</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Securitized</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Non-Securitized</w:t>
            </w: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Securitized</w:t>
            </w:r>
          </w:p>
        </w:tc>
        <w:tc>
          <w:tcPr>
            <w:tcW w:w="30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90 days past due</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91 – 120 days past due</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100" w:type="dxa"/>
            <w:vAlign w:val="bottom"/>
          </w:tcPr>
          <w:p>
            <w:pPr>
              <w:ind w:left="220"/>
              <w:spacing w:after="0"/>
              <w:rPr>
                <w:sz w:val="20"/>
                <w:szCs w:val="20"/>
                <w:color w:val="auto"/>
              </w:rPr>
            </w:pPr>
            <w:r>
              <w:rPr>
                <w:rFonts w:ascii="Arial" w:cs="Arial" w:eastAsia="Arial" w:hAnsi="Arial"/>
                <w:sz w:val="18"/>
                <w:szCs w:val="18"/>
                <w:color w:val="auto"/>
              </w:rPr>
              <w:t>Total past due</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155"/>
        </w:trPr>
        <w:tc>
          <w:tcPr>
            <w:tcW w:w="3100" w:type="dxa"/>
            <w:vAlign w:val="bottom"/>
          </w:tcPr>
          <w:p>
            <w:pPr>
              <w:ind w:left="220"/>
              <w:spacing w:after="0" w:line="156" w:lineRule="exact"/>
              <w:rPr>
                <w:sz w:val="20"/>
                <w:szCs w:val="20"/>
                <w:color w:val="auto"/>
              </w:rPr>
            </w:pPr>
            <w:r>
              <w:rPr>
                <w:rFonts w:ascii="Arial" w:cs="Arial" w:eastAsia="Arial" w:hAnsi="Arial"/>
                <w:sz w:val="18"/>
                <w:szCs w:val="18"/>
                <w:color w:val="auto"/>
              </w:rPr>
              <w:t>Total vacation ownership notes</w:t>
            </w:r>
          </w:p>
        </w:tc>
        <w:tc>
          <w:tcPr>
            <w:tcW w:w="520" w:type="dxa"/>
            <w:vAlign w:val="bottom"/>
            <w:vMerge w:val="restart"/>
          </w:tcPr>
          <w:p>
            <w:pPr>
              <w:jc w:val="right"/>
              <w:ind w:right="333"/>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3"/>
                <w:szCs w:val="13"/>
                <w:color w:val="auto"/>
              </w:rPr>
            </w:pPr>
          </w:p>
        </w:tc>
        <w:tc>
          <w:tcPr>
            <w:tcW w:w="520" w:type="dxa"/>
            <w:vAlign w:val="bottom"/>
            <w:vMerge w:val="restart"/>
          </w:tcPr>
          <w:p>
            <w:pPr>
              <w:jc w:val="right"/>
              <w:ind w:right="313"/>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8"/>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receivable</w:t>
            </w:r>
          </w:p>
        </w:tc>
        <w:tc>
          <w:tcPr>
            <w:tcW w:w="5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before reserves. Vacation ownership notes receivable with no FICO score primarily relate to non-U.S. resident borrowers.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12"/>
          </w:tcPr>
          <w:p>
            <w:pPr>
              <w:jc w:val="center"/>
              <w:ind w:right="17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2020</w:t>
            </w:r>
          </w:p>
        </w:tc>
        <w:tc>
          <w:tcPr>
            <w:tcW w:w="1160" w:type="dxa"/>
            <w:vAlign w:val="bottom"/>
            <w:tcBorders>
              <w:bottom w:val="single" w:sz="8" w:color="auto"/>
            </w:tcBorders>
          </w:tcPr>
          <w:p>
            <w:pPr>
              <w:spacing w:after="0"/>
              <w:rPr>
                <w:sz w:val="18"/>
                <w:szCs w:val="18"/>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700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4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3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2"/>
          </w:tcPr>
          <w:p>
            <w:pPr>
              <w:jc w:val="center"/>
              <w:ind w:right="17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2019</w:t>
            </w:r>
          </w:p>
        </w:tc>
        <w:tc>
          <w:tcPr>
            <w:tcW w:w="1160" w:type="dxa"/>
            <w:vAlign w:val="bottom"/>
            <w:tcBorders>
              <w:bottom w:val="single" w:sz="8" w:color="auto"/>
            </w:tcBorders>
          </w:tcPr>
          <w:p>
            <w:pPr>
              <w:spacing w:after="0"/>
              <w:rPr>
                <w:sz w:val="24"/>
                <w:szCs w:val="24"/>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700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4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3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90" w:lineRule="auto"/>
        <w:rPr>
          <w:sz w:val="20"/>
          <w:szCs w:val="20"/>
          <w:color w:val="auto"/>
        </w:rPr>
      </w:pPr>
      <w:r>
        <w:rPr>
          <w:rFonts w:ascii="Arial" w:cs="Arial" w:eastAsia="Arial" w:hAnsi="Arial"/>
          <w:sz w:val="17"/>
          <w:szCs w:val="17"/>
          <w:color w:val="auto"/>
        </w:rPr>
        <w:t xml:space="preserve">The following </w:t>
      </w:r>
      <w:r>
        <w:rPr>
          <w:rFonts w:ascii="Arial" w:cs="Arial" w:eastAsia="Arial" w:hAnsi="Arial"/>
          <w:sz w:val="17"/>
          <w:szCs w:val="17"/>
          <w:color w:val="212529"/>
        </w:rPr>
        <w:t>table details the origination year of our Legacy-ILG acquired vacation ownership notes receivable by brand and FICO score as of</w:t>
      </w:r>
      <w:r>
        <w:rPr>
          <w:rFonts w:ascii="Arial" w:cs="Arial" w:eastAsia="Arial" w:hAnsi="Arial"/>
          <w:sz w:val="17"/>
          <w:szCs w:val="17"/>
          <w:color w:val="auto"/>
        </w:rPr>
        <w:t xml:space="preserve"> December 31, 2020</w:t>
      </w:r>
      <w:r>
        <w:rPr>
          <w:rFonts w:ascii="Arial" w:cs="Arial" w:eastAsia="Arial" w:hAnsi="Arial"/>
          <w:sz w:val="17"/>
          <w:szCs w:val="17"/>
          <w:color w:val="212529"/>
        </w:rPr>
        <w:t>.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w w:val="91"/>
              </w:rPr>
              <w:t>Acquired Vacation Ownership Notes Receivable - Westin</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center"/>
              <w:ind w:right="29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3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0"/>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w w:val="90"/>
              </w:rPr>
              <w:t>Acquired Vacation Ownership Notes Receivable - Sheraton</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center"/>
              <w:ind w:right="29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3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3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1"/>
                <w:szCs w:val="2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gridSpan w:val="12"/>
          </w:tcPr>
          <w:p>
            <w:pPr>
              <w:ind w:left="320"/>
              <w:spacing w:after="0"/>
              <w:rPr>
                <w:sz w:val="20"/>
                <w:szCs w:val="20"/>
                <w:color w:val="auto"/>
              </w:rPr>
            </w:pPr>
            <w:r>
              <w:rPr>
                <w:rFonts w:ascii="Arial" w:cs="Arial" w:eastAsia="Arial" w:hAnsi="Arial"/>
                <w:sz w:val="16"/>
                <w:szCs w:val="16"/>
                <w:b w:val="1"/>
                <w:bCs w:val="1"/>
                <w:color w:val="auto"/>
                <w:w w:val="93"/>
              </w:rPr>
              <w:t>Acquired Vacation Ownership Notes Receivable - Hyatt and Other</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14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2019</w:t>
            </w:r>
          </w:p>
        </w:tc>
        <w:tc>
          <w:tcPr>
            <w:tcW w:w="1440" w:type="dxa"/>
            <w:vAlign w:val="bottom"/>
            <w:gridSpan w:val="3"/>
          </w:tcPr>
          <w:p>
            <w:pPr>
              <w:ind w:left="980"/>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before reserves. Vacation ownership notes receivable with no FICO score primarily relate to non-U.S. resident borrowers.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12"/>
          </w:tcPr>
          <w:p>
            <w:pPr>
              <w:jc w:val="center"/>
              <w:ind w:left="73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2020</w:t>
            </w:r>
          </w:p>
        </w:tc>
        <w:tc>
          <w:tcPr>
            <w:tcW w:w="1140" w:type="dxa"/>
            <w:vAlign w:val="bottom"/>
            <w:tcBorders>
              <w:bottom w:val="single" w:sz="8" w:color="auto"/>
            </w:tcBorders>
          </w:tcPr>
          <w:p>
            <w:pPr>
              <w:spacing w:after="0"/>
              <w:rPr>
                <w:sz w:val="18"/>
                <w:szCs w:val="18"/>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3"/>
        </w:trPr>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12"/>
          </w:tcPr>
          <w:p>
            <w:pPr>
              <w:jc w:val="center"/>
              <w:ind w:left="73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2019</w:t>
            </w:r>
          </w:p>
        </w:tc>
        <w:tc>
          <w:tcPr>
            <w:tcW w:w="1140" w:type="dxa"/>
            <w:vAlign w:val="bottom"/>
            <w:tcBorders>
              <w:bottom w:val="single" w:sz="8" w:color="auto"/>
            </w:tcBorders>
          </w:tcPr>
          <w:p>
            <w:pPr>
              <w:spacing w:after="0"/>
              <w:rPr>
                <w:sz w:val="24"/>
                <w:szCs w:val="24"/>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00" w:firstLine="648"/>
        <w:spacing w:after="0" w:line="290" w:lineRule="auto"/>
        <w:rPr>
          <w:sz w:val="20"/>
          <w:szCs w:val="20"/>
          <w:color w:val="auto"/>
        </w:rPr>
      </w:pPr>
      <w:r>
        <w:rPr>
          <w:rFonts w:ascii="Arial" w:cs="Arial" w:eastAsia="Arial" w:hAnsi="Arial"/>
          <w:sz w:val="17"/>
          <w:szCs w:val="17"/>
          <w:color w:val="auto"/>
        </w:rPr>
        <w:t>The following tables detail the origination year of our Legacy-ILG originated vacation ownership notes receivable by brand and FICO score as of December 31, 2020.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4"/>
          </w:tcPr>
          <w:p>
            <w:pPr>
              <w:jc w:val="center"/>
              <w:ind w:right="100"/>
              <w:spacing w:after="0"/>
              <w:rPr>
                <w:sz w:val="20"/>
                <w:szCs w:val="20"/>
                <w:color w:val="auto"/>
              </w:rPr>
            </w:pPr>
            <w:r>
              <w:rPr>
                <w:rFonts w:ascii="Arial" w:cs="Arial" w:eastAsia="Arial" w:hAnsi="Arial"/>
                <w:sz w:val="16"/>
                <w:szCs w:val="16"/>
                <w:b w:val="1"/>
                <w:bCs w:val="1"/>
                <w:color w:val="auto"/>
                <w:w w:val="90"/>
              </w:rPr>
              <w:t>Originated Vacation Ownership Notes Receivable - Westin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right="292"/>
              <w:spacing w:after="0"/>
              <w:rPr>
                <w:sz w:val="20"/>
                <w:szCs w:val="20"/>
                <w:color w:val="auto"/>
              </w:rPr>
            </w:pPr>
            <w:r>
              <w:rPr>
                <w:rFonts w:ascii="Arial" w:cs="Arial" w:eastAsia="Arial" w:hAnsi="Arial"/>
                <w:sz w:val="16"/>
                <w:szCs w:val="16"/>
                <w:b w:val="1"/>
                <w:bCs w:val="1"/>
                <w:color w:val="auto"/>
                <w:w w:val="95"/>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1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4"/>
          </w:tcPr>
          <w:p>
            <w:pPr>
              <w:jc w:val="center"/>
              <w:ind w:right="60"/>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right="272"/>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2015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56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left w:val="single" w:sz="8" w:color="CCEEFF"/>
            </w:tcBorders>
          </w:tcPr>
          <w:p>
            <w:pPr>
              <w:spacing w:after="0"/>
              <w:rPr>
                <w:sz w:val="19"/>
                <w:szCs w:val="19"/>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w w:val="99"/>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left w:val="single" w:sz="8" w:color="CCEEFF"/>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left w:val="single" w:sz="8" w:color="CCEEFF"/>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gridSpan w:val="4"/>
          </w:tcPr>
          <w:p>
            <w:pPr>
              <w:jc w:val="right"/>
              <w:ind w:right="30"/>
              <w:spacing w:after="0"/>
              <w:rPr>
                <w:sz w:val="20"/>
                <w:szCs w:val="20"/>
                <w:color w:val="auto"/>
              </w:rPr>
            </w:pPr>
            <w:r>
              <w:rPr>
                <w:rFonts w:ascii="Arial" w:cs="Arial" w:eastAsia="Arial" w:hAnsi="Arial"/>
                <w:sz w:val="18"/>
                <w:szCs w:val="18"/>
                <w:color w:val="auto"/>
              </w:rPr>
              <w:t>106</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9"/>
          </w:tcPr>
          <w:p>
            <w:pPr>
              <w:jc w:val="right"/>
              <w:ind w:right="310"/>
              <w:spacing w:after="0"/>
              <w:rPr>
                <w:sz w:val="20"/>
                <w:szCs w:val="20"/>
                <w:color w:val="auto"/>
              </w:rPr>
            </w:pPr>
            <w:r>
              <w:rPr>
                <w:rFonts w:ascii="Arial" w:cs="Arial" w:eastAsia="Arial" w:hAnsi="Arial"/>
                <w:sz w:val="16"/>
                <w:szCs w:val="16"/>
                <w:b w:val="1"/>
                <w:bCs w:val="1"/>
                <w:color w:val="auto"/>
                <w:w w:val="92"/>
              </w:rPr>
              <w:t>Originated Vacation Ownership Notes Receivable - Hyatt</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2015 &amp; Prior</w:t>
            </w: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INSTRUMENTS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8"/>
          </w:tcPr>
          <w:p>
            <w:pPr>
              <w:ind w:left="480"/>
              <w:spacing w:after="0"/>
              <w:rPr>
                <w:sz w:val="20"/>
                <w:szCs w:val="20"/>
                <w:color w:val="auto"/>
              </w:rPr>
            </w:pPr>
            <w:r>
              <w:rPr>
                <w:rFonts w:ascii="Arial" w:cs="Arial" w:eastAsia="Arial" w:hAnsi="Arial"/>
                <w:sz w:val="16"/>
                <w:szCs w:val="16"/>
                <w:b w:val="1"/>
                <w:bCs w:val="1"/>
                <w:color w:val="auto"/>
              </w:rPr>
              <w:t>At December 31, 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38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2025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2028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Revolving Corporate Credit Facility,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Convertible notes, net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8"/>
          </w:tcPr>
          <w:p>
            <w:pPr>
              <w:ind w:left="480"/>
              <w:spacing w:after="0"/>
              <w:rPr>
                <w:sz w:val="20"/>
                <w:szCs w:val="20"/>
                <w:color w:val="auto"/>
              </w:rPr>
            </w:pPr>
            <w:r>
              <w:rPr>
                <w:rFonts w:ascii="Arial" w:cs="Arial" w:eastAsia="Arial" w:hAnsi="Arial"/>
                <w:sz w:val="16"/>
                <w:szCs w:val="16"/>
                <w:b w:val="1"/>
                <w:bCs w:val="1"/>
                <w:color w:val="auto"/>
              </w:rPr>
              <w:t>At December 31, 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6"/>
          </w:tcPr>
          <w:p>
            <w:pPr>
              <w:jc w:val="right"/>
              <w:ind w:right="632"/>
              <w:spacing w:after="0"/>
              <w:rPr>
                <w:sz w:val="20"/>
                <w:szCs w:val="20"/>
                <w:color w:val="auto"/>
              </w:rPr>
            </w:pPr>
            <w:r>
              <w:rPr>
                <w:rFonts w:ascii="Arial" w:cs="Arial" w:eastAsia="Arial" w:hAnsi="Arial"/>
                <w:sz w:val="16"/>
                <w:szCs w:val="16"/>
                <w:b w:val="1"/>
                <w:bCs w:val="1"/>
                <w:color w:val="auto"/>
              </w:rPr>
              <w:t>At December 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34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ind w:right="212"/>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480"/>
              <w:spacing w:after="0"/>
              <w:rPr>
                <w:sz w:val="20"/>
                <w:szCs w:val="20"/>
                <w:color w:val="auto"/>
              </w:rPr>
            </w:pPr>
            <w:r>
              <w:rPr>
                <w:rFonts w:ascii="Arial" w:cs="Arial" w:eastAsia="Arial" w:hAnsi="Arial"/>
                <w:sz w:val="18"/>
                <w:szCs w:val="18"/>
                <w:color w:val="auto"/>
              </w:rPr>
              <w:t>Eligible for securitization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 eligible for securitization</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Non-securitized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09" w:name="page110"/>
    <w:bookmarkEnd w:id="109"/>
    <w:p>
      <w:pPr>
        <w:jc w:val="both"/>
        <w:ind w:right="140" w:firstLine="648"/>
        <w:spacing w:after="0" w:line="286" w:lineRule="auto"/>
        <w:rPr>
          <w:sz w:val="20"/>
          <w:szCs w:val="20"/>
          <w:color w:val="auto"/>
        </w:rPr>
      </w:pPr>
      <w:r>
        <w:rPr>
          <w:rFonts w:ascii="Arial" w:cs="Arial" w:eastAsia="Arial" w:hAnsi="Arial"/>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w:t>
      </w:r>
    </w:p>
    <w:p>
      <w:pPr>
        <w:spacing w:after="0" w:line="1" w:lineRule="exact"/>
        <w:rPr>
          <w:sz w:val="20"/>
          <w:szCs w:val="20"/>
          <w:color w:val="auto"/>
        </w:rPr>
      </w:pPr>
    </w:p>
    <w:p>
      <w:pPr>
        <w:jc w:val="both"/>
        <w:ind w:right="20" w:firstLine="8"/>
        <w:spacing w:after="0" w:line="255"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Other assets include $54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 2026 Notes, and 2028 Notes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the fair value of our 2025 Notes, 2026 Notes, and 2028 Notes (each as defined in Footnote 17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17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17 “Debt”) approximates its gross carrying value as the contractual interest rate is variable plus an applicable margin.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estimate the fair value of our 2022 Convertible Notes using quoted market prices as of the last trading day for the quarter; however these notes have only a limited trading history and volume and as such this fair value estimate is not necessarily indicative of the value at which the 2022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2022 Convertible Notes.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Basic (loss) earnings per common share attributable to common shareholders is calculated by dividing net (loss) or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calculation of diluted (loss) earnings per share attributable to common shareholders reflects our intent to settle conversions of the 2022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December 31, 2020, December 31, 2019, or December 31, 2018, there was no dilutive impact from the 2022 Convertible Notes for 2020, 2019, or 2018.</w:t>
      </w:r>
    </w:p>
    <w:p>
      <w:pPr>
        <w:spacing w:after="0" w:line="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shares issuable on exercise of the 2022 Warrants (as defined in Footnote 17 “Debt”) sold in connection with the issuance of the 2022 Convertible Notes will not impact the total dilutive weighted average shares outstanding unless and until the price of our common stock exceeds the strike price. If and when the price of our common stock exceeds the strike price of the 2022 Warrants, we will include the dilutive effect of the additional shares that may be issued upon exercise of the 2022 Warrants in total dilutive weighted average shares outstanding, which we calculate using the treasury stock method. The 2022 Convertible Note Hedges purchased in connection with the issuance of the 2022 Convertible Notes are considered to be anti-dilutive and do not impact our calculation of diluted earnings per share attributable to common shareholders for any periods presented herein.</w:t>
      </w:r>
    </w:p>
    <w:p>
      <w:pPr>
        <w:spacing w:after="0" w:line="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(loss) earnings per share attributable to common shareholders.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9"/>
                <w:szCs w:val="9"/>
                <w:b w:val="1"/>
                <w:bCs w:val="1"/>
                <w:color w:val="auto"/>
              </w:rPr>
              <w:t>(1)</w:t>
            </w:r>
          </w:p>
        </w:tc>
      </w:tr>
      <w:tr>
        <w:trPr>
          <w:trHeight w:val="19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1"/>
              </w:rPr>
              <w:t>Computation of Basic (Loss) Earnings Per Share Attributable to Common Shareholders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Net (loss) income attributable to common shareholders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for basic (loss) earnings per share</w:t>
            </w:r>
          </w:p>
        </w:tc>
        <w:tc>
          <w:tcPr>
            <w:tcW w:w="1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5080" w:type="dxa"/>
            <w:vAlign w:val="bottom"/>
          </w:tcPr>
          <w:p>
            <w:pPr>
              <w:ind w:left="140"/>
              <w:spacing w:after="0"/>
              <w:rPr>
                <w:sz w:val="20"/>
                <w:szCs w:val="20"/>
                <w:color w:val="auto"/>
              </w:rPr>
            </w:pPr>
            <w:r>
              <w:rPr>
                <w:rFonts w:ascii="Arial" w:cs="Arial" w:eastAsia="Arial" w:hAnsi="Arial"/>
                <w:sz w:val="18"/>
                <w:szCs w:val="18"/>
                <w:b w:val="1"/>
                <w:bCs w:val="1"/>
                <w:color w:val="auto"/>
              </w:rPr>
              <w:t>Basic (loss) earnings per share</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w w:val="97"/>
              </w:rPr>
              <w:t>Computation of Diluted (Loss) Earnings Per Share Attributable to Common Shareholders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Net (loss) income attributable to common shareholders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for basic (loss) earnings per share</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Effect of dilutive shares outstanding</w:t>
            </w:r>
            <w:r>
              <w:rPr>
                <w:rFonts w:ascii="Arial" w:cs="Arial" w:eastAsia="Arial" w:hAnsi="Arial"/>
                <w:sz w:val="9"/>
                <w:szCs w:val="9"/>
                <w:color w:val="auto"/>
              </w:rPr>
              <w:t>(2)</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options and SARs</w:t>
            </w:r>
          </w:p>
        </w:tc>
        <w:tc>
          <w:tcPr>
            <w:tcW w:w="1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for diluted (loss) earnings per share</w:t>
            </w: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5080" w:type="dxa"/>
            <w:vAlign w:val="bottom"/>
          </w:tcPr>
          <w:p>
            <w:pPr>
              <w:ind w:left="140"/>
              <w:spacing w:after="0"/>
              <w:rPr>
                <w:sz w:val="20"/>
                <w:szCs w:val="20"/>
                <w:color w:val="auto"/>
              </w:rPr>
            </w:pPr>
            <w:r>
              <w:rPr>
                <w:rFonts w:ascii="Arial" w:cs="Arial" w:eastAsia="Arial" w:hAnsi="Arial"/>
                <w:sz w:val="18"/>
                <w:szCs w:val="18"/>
                <w:color w:val="auto"/>
              </w:rPr>
              <w:t>Diluted (loss) earnings per share</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
        </w:trPr>
        <w:tc>
          <w:tcPr>
            <w:tcW w:w="5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0" w:hanging="652"/>
        <w:spacing w:after="0" w:line="238"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computations of diluted earnings per share attributable to common shareholders exclude approximately 345,000 and 165,000 shares of common stock, the maximum number of shares issuable as of December 31, 2019 and December 31, 2018, respectively, upon the vesting of certain performance-based awards, because the performance conditions required to be met for the shares subject to such awards to vest were not achieved by the end of the reporting period.</w:t>
      </w:r>
    </w:p>
    <w:p>
      <w:pPr>
        <w:spacing w:after="0" w:line="39" w:lineRule="exact"/>
        <w:rPr>
          <w:rFonts w:ascii="Arial" w:cs="Arial" w:eastAsia="Arial" w:hAnsi="Arial"/>
          <w:sz w:val="23"/>
          <w:szCs w:val="23"/>
          <w:color w:val="auto"/>
          <w:vertAlign w:val="superscript"/>
        </w:rPr>
      </w:pPr>
    </w:p>
    <w:p>
      <w:pPr>
        <w:ind w:left="660" w:right="84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Amounts exclude all potentially dilutive equity-based compensation awards for periods when there is a net loss attributable to common shareholders.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11" w:name="page112"/>
    <w:bookmarkEnd w:id="111"/>
    <w:p>
      <w:pPr>
        <w:ind w:right="240" w:firstLine="648"/>
        <w:spacing w:after="0" w:line="311" w:lineRule="auto"/>
        <w:rPr>
          <w:sz w:val="20"/>
          <w:szCs w:val="20"/>
          <w:color w:val="auto"/>
        </w:rPr>
      </w:pPr>
      <w:r>
        <w:rPr>
          <w:rFonts w:ascii="Arial" w:cs="Arial" w:eastAsia="Arial" w:hAnsi="Arial"/>
          <w:sz w:val="16"/>
          <w:szCs w:val="16"/>
          <w:color w:val="auto"/>
        </w:rPr>
        <w:t>In accordance with the applicable accounting guidance for calculating earnings per share, for each of the years ended December 31, 2019 and December 31, 2018, we excluded from our calculation of diluted earnings per share 56,649 shares underlying SARs that may settle in shares of common stock because the exercise price of $143.38 of such SARs was greater than the average market price for each of the applicable periods.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2020</w:t>
            </w:r>
          </w:p>
        </w:tc>
        <w:tc>
          <w:tcPr>
            <w:tcW w:w="240" w:type="dxa"/>
            <w:vAlign w:val="bottom"/>
          </w:tcPr>
          <w:p>
            <w:pPr>
              <w:spacing w:after="0"/>
              <w:rPr>
                <w:sz w:val="18"/>
                <w:szCs w:val="18"/>
                <w:color w:val="auto"/>
              </w:rPr>
            </w:pPr>
          </w:p>
        </w:tc>
        <w:tc>
          <w:tcPr>
            <w:tcW w:w="1740" w:type="dxa"/>
            <w:vAlign w:val="bottom"/>
          </w:tcPr>
          <w:p>
            <w:pPr>
              <w:jc w:val="right"/>
              <w:ind w:right="272"/>
              <w:spacing w:after="0"/>
              <w:rPr>
                <w:sz w:val="20"/>
                <w:szCs w:val="20"/>
                <w:color w:val="auto"/>
              </w:rPr>
            </w:pPr>
            <w:r>
              <w:rPr>
                <w:rFonts w:ascii="Arial" w:cs="Arial" w:eastAsia="Arial" w:hAnsi="Arial"/>
                <w:sz w:val="16"/>
                <w:szCs w:val="16"/>
                <w:b w:val="1"/>
                <w:bCs w:val="1"/>
                <w:color w:val="auto"/>
              </w:rPr>
              <w:t>At Year-End 2019</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Finished goods</w:t>
            </w:r>
            <w:r>
              <w:rPr>
                <w:rFonts w:ascii="Arial" w:cs="Arial" w:eastAsia="Arial" w:hAnsi="Arial"/>
                <w:sz w:val="21"/>
                <w:szCs w:val="2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Real estate inventory</w:t>
            </w: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value vacation ownership interests at the lower of cost or fair market value less costs to sell, in accordance with applicable accounting guidance, and we record operating supplies at the lower of cost (using the first-in, first-out method) or net realizable value.</w:t>
      </w:r>
    </w:p>
    <w:p>
      <w:pPr>
        <w:spacing w:after="0" w:line="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above, at December 31, 2020 and December 31, 2019, we had $162 million and $55 million, respectively, of completed vacation ownership units which are classified as a component of Property and equipment until the time at which they are legally registered for sale as vacation ownership products. We also had $43 million and $38 million of deposits on future purchases of inventory at December 31, 2020 and December 31, 2019, respectively, which are included in the Other assets line on our Balance Sheets. Additionally, during the year ended December 31, 2020, we recorded $6 million of inventory impairments.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At Year-End 2020</w:t>
            </w:r>
          </w:p>
        </w:tc>
        <w:tc>
          <w:tcPr>
            <w:tcW w:w="240" w:type="dxa"/>
            <w:vAlign w:val="bottom"/>
          </w:tcPr>
          <w:p>
            <w:pPr>
              <w:spacing w:after="0"/>
              <w:rPr>
                <w:sz w:val="18"/>
                <w:szCs w:val="18"/>
                <w:color w:val="auto"/>
              </w:rPr>
            </w:pPr>
          </w:p>
        </w:tc>
        <w:tc>
          <w:tcPr>
            <w:tcW w:w="1740" w:type="dxa"/>
            <w:vAlign w:val="bottom"/>
          </w:tcPr>
          <w:p>
            <w:pPr>
              <w:jc w:val="right"/>
              <w:ind w:right="271"/>
              <w:spacing w:after="0"/>
              <w:rPr>
                <w:sz w:val="20"/>
                <w:szCs w:val="20"/>
                <w:color w:val="auto"/>
              </w:rPr>
            </w:pPr>
            <w:r>
              <w:rPr>
                <w:rFonts w:ascii="Arial" w:cs="Arial" w:eastAsia="Arial" w:hAnsi="Arial"/>
                <w:sz w:val="16"/>
                <w:szCs w:val="16"/>
                <w:b w:val="1"/>
                <w:bCs w:val="1"/>
                <w:color w:val="auto"/>
              </w:rPr>
              <w:t>At Year-End 2019</w:t>
            </w:r>
          </w:p>
        </w:tc>
        <w:tc>
          <w:tcPr>
            <w:tcW w:w="0" w:type="dxa"/>
            <w:vAlign w:val="bottom"/>
          </w:tcPr>
          <w:p>
            <w:pPr>
              <w:spacing w:after="0"/>
              <w:rPr>
                <w:sz w:val="1"/>
                <w:szCs w:val="1"/>
                <w:color w:val="auto"/>
              </w:rPr>
            </w:pPr>
          </w:p>
        </w:tc>
      </w:tr>
      <w:tr>
        <w:trPr>
          <w:trHeight w:val="226"/>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Information technology</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3000" w:type="dxa"/>
            <w:vAlign w:val="bottom"/>
            <w:vMerge w:val="restart"/>
          </w:tcPr>
          <w:p>
            <w:pPr>
              <w:jc w:val="right"/>
              <w:ind w:right="1330"/>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12. GOODWILL</w:t>
      </w:r>
    </w:p>
    <w:p>
      <w:pPr>
        <w:spacing w:after="0" w:line="12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following table details the carrying amount of our goodwill at December 31, 2020 and December 31, 2019, and reflects goodwill attributed to the ILG Acquisition, which was allocated to our Vacation Ownership and our Exchange &amp; Third-Party Management reporting units.</w:t>
      </w:r>
    </w:p>
    <w:p>
      <w:pPr>
        <w:spacing w:after="0" w:line="15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1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5"/>
              </w:rPr>
              <w:t>Exchange &amp; Third-Party</w:t>
            </w:r>
          </w:p>
        </w:tc>
        <w:tc>
          <w:tcPr>
            <w:tcW w:w="180" w:type="dxa"/>
            <w:vAlign w:val="bottom"/>
          </w:tcPr>
          <w:p>
            <w:pPr>
              <w:spacing w:after="0"/>
              <w:rPr>
                <w:sz w:val="16"/>
                <w:szCs w:val="16"/>
                <w:color w:val="auto"/>
              </w:rPr>
            </w:pP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Management Segment</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70"/>
        </w:trPr>
        <w:tc>
          <w:tcPr>
            <w:tcW w:w="3440" w:type="dxa"/>
            <w:vAlign w:val="bottom"/>
          </w:tcPr>
          <w:p>
            <w:pPr>
              <w:ind w:left="200"/>
              <w:spacing w:after="0"/>
              <w:rPr>
                <w:sz w:val="20"/>
                <w:szCs w:val="20"/>
                <w:color w:val="auto"/>
              </w:rPr>
            </w:pPr>
            <w:r>
              <w:rPr>
                <w:rFonts w:ascii="Arial" w:cs="Arial" w:eastAsia="Arial" w:hAnsi="Arial"/>
                <w:sz w:val="18"/>
                <w:szCs w:val="18"/>
                <w:color w:val="auto"/>
              </w:rPr>
              <w:t>Measurement period adjustments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adjustments</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3440" w:type="dxa"/>
            <w:vAlign w:val="bottom"/>
          </w:tcPr>
          <w:p>
            <w:pPr>
              <w:ind w:left="200"/>
              <w:spacing w:after="0"/>
              <w:rPr>
                <w:sz w:val="20"/>
                <w:szCs w:val="20"/>
                <w:color w:val="auto"/>
              </w:rPr>
            </w:pPr>
            <w:r>
              <w:rPr>
                <w:rFonts w:ascii="Arial" w:cs="Arial" w:eastAsia="Arial" w:hAnsi="Arial"/>
                <w:sz w:val="18"/>
                <w:szCs w:val="18"/>
                <w:color w:val="auto"/>
              </w:rPr>
              <w:t>Foreign exchange adjustments</w:t>
            </w:r>
          </w:p>
        </w:tc>
        <w:tc>
          <w:tcPr>
            <w:tcW w:w="140" w:type="dxa"/>
            <w:vAlign w:val="bottom"/>
          </w:tcPr>
          <w:p>
            <w:pPr>
              <w:spacing w:after="0"/>
              <w:rPr>
                <w:sz w:val="23"/>
                <w:szCs w:val="23"/>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preparation of our Financial Statements for the first quarter of 2020, we initially concluded that it was more likely than not that the fair value of both of our reporting units was below their respective carrying amounts. The factors that led to this conclusion were related to the COVID-19 pandemic and included: (i) the substantial decline in our stock price and market capitalization; (ii) the closure of substantially all of our Vacation Ownership reporting unit sales centers; (iii) the government stay-at-home orders in place in many of the jurisdictions in which we operate; (iv) our planned furloughs and reduced work schedule arrangements; (v) the impact of travel restrictions on the hospitality industry; and (vi) the macroeconomic fallout from the COVID-19 pandemic.</w:t>
      </w:r>
    </w:p>
    <w:p>
      <w:pPr>
        <w:spacing w:after="0" w:line="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utilized a combination of the income and market approaches to estimate the fair value of our reporting units (Level 3). We concluded that there was no impairment of the Vacation Ownership reporting unit as declines in expected future operating results were not substantial enough to cause the fair value of the reporting unit to be below its carrying amount. 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impact of the COVID-19 pandemic.</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Q2 2020 and Q3 2020</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connection with the preparation of our Financial Statements for the second and third quarters of 2020, we concluded that an interim quantitative impairment test was required for our Exchange &amp; Third-Party Management reporting unit because of the impairment charge we recognized for this reporting unit in the first quarter of 2020. We utilized a combination of the income and market approaches to estimate the fair value of this reporting unit (Level 3) consistent with the methodology used in the first quarter of 2020. We concluded that there was no further impairment of the Exchange &amp; Third-Party Management reporting unit as of the end of each of the second and third quarters of 2020 from the first quarter of 2020, as future expected operating results had improved slightly in comparison to the projections used in the first quarter, resulting in a fair value of the reporting unit in excess of its carrying amount. We performed a qualitative analysis of the impact of recent events, including business and industry specific considerations, on the fair value of our Vacation Ownership reporting unit as of the end of each of the second and third quarters of 2020 and determined that an interim quantitative impairment test was not required.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Q4 2020</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performed our annual goodwill impairment test as of October 1, 2020 and prepared a quantitative assessment for both the Vacation Ownership and the Exchange &amp; Third-Party Management reporting units. We utilized a combination of the income and market approaches to estimate the fair value of this reporting unit (Level 3) consistent with the methodology used in the first quarter of 2020. For each reporting unit, the fair value of the reporting unit was in excess of the carrying value and therefore we concluded there was no further impairment.</w:t>
      </w:r>
    </w:p>
    <w:p>
      <w:pPr>
        <w:spacing w:after="0" w:line="6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Given the continued impact of the COVID-19 pandemic, in connection with the preparation of our Financial Statements for the year ended December 31, 2020, we performed a qualitative analysis of each of our reporting units as of the end of the fourth quarter, considering recent events and determined that interim quantitative impairment tests were not required. While the goodwill of our reporting units are not impaired at December 31, 2020, we cannot assure you that goodwill will not be impaired in future periods. We will continue to monitor the operating results, cash flow forecasts and impact from changes in market conditions, as well as impacts of COVID-19 for these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3" w:name="page114"/>
    <w:bookmarkEnd w:id="11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intangible asset balances: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2019</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6780" w:type="dxa"/>
            <w:vAlign w:val="bottom"/>
          </w:tcPr>
          <w:p>
            <w:pPr>
              <w:ind w:left="240"/>
              <w:spacing w:after="0"/>
              <w:rPr>
                <w:sz w:val="20"/>
                <w:szCs w:val="20"/>
                <w:color w:val="auto"/>
              </w:rPr>
            </w:pPr>
            <w:r>
              <w:rPr>
                <w:rFonts w:ascii="Arial" w:cs="Arial" w:eastAsia="Arial" w:hAnsi="Arial"/>
                <w:sz w:val="18"/>
                <w:szCs w:val="18"/>
                <w:color w:val="auto"/>
              </w:rPr>
              <w:t>Member relationships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contracts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6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6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Trade names and trademarks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Definite-lived intangible assets, all of which were acquired as part of the ILG Acquisition, are amortized on a straight-line basis over their estimated useful lives, ranging from 15 to 25 years. We recorded amortization expense of $57 million in 2020, $59 million in 2019, and $19 million in 2018 in the Depreciation and amortization line of our Income Statements. For these assets, we estimate that our aggregate amortization expense will be $57 million for each of the next five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17"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following table summarizes the activity related to our indefinite-lived intangible assets, all of which are related to the Exchange &amp; Third-Party Management segment.</w:t>
      </w: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Trade Names and Trademarks</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9"/>
              </w:rPr>
              <w:t>82</w:t>
            </w:r>
          </w:p>
        </w:tc>
      </w:tr>
      <w:tr>
        <w:trPr>
          <w:trHeight w:val="23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(18)</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64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preparation of the financial statements for the first quarter of 2020, we concluded that it was more likely than not that the fair value of our indefinite lived intangibles was below their carrying amounts. The factors that led to this conclusion were related to the COVID-19 pandemic and included: (i) the government stay-at-home orders in place in many of the jurisdictions in which we operate; (ii) the impact of travel restrictions on the hospitality industry; and (iii) the macroeconomic fallout from the COVID-19 pandemic.</w:t>
      </w:r>
    </w:p>
    <w:p>
      <w:pPr>
        <w:spacing w:after="0" w:line="7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used the relief of royalty method in calculating the fair value of the trade names and trademarks (Level 3). We recognized a non-cash impairment charge of $18 million in the Impairment line on our Income Statement during the first quarter of 2020, which was primarily attributed to the decline in estimated near-term revenues and related recovery of long-term revenues attributed to the impact of the COVID-19 pandemic.</w:t>
      </w:r>
    </w:p>
    <w:p>
      <w:pPr>
        <w:spacing w:after="0" w:line="5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performed our annual impairment test of indefinite lived intangible assets as of October 1, 2020 consistent with the methodology used in the first quarter of 2020 and determined that the fair value of our indefinite lived intangibles was above their carrying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the following commitments outstanding:</w:t>
      </w:r>
    </w:p>
    <w:p>
      <w:pPr>
        <w:spacing w:after="0" w:line="117" w:lineRule="exact"/>
        <w:rPr>
          <w:sz w:val="20"/>
          <w:szCs w:val="20"/>
          <w:color w:val="auto"/>
        </w:rPr>
      </w:pPr>
    </w:p>
    <w:p>
      <w:pPr>
        <w:ind w:left="980" w:right="60" w:hanging="324"/>
        <w:spacing w:after="0" w:line="263"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$85 million, of which we expect $34 million, $26 million, $16 million, $6 million, and $3 million will be paid in 2021, 2022, 2023, 2024, and 2025,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980" w:right="380" w:hanging="324"/>
        <w:spacing w:after="0" w:line="342"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various commitments to acquire real estate for use in our Vacation Ownership segment via our involvement with VIEs. Refer to Footnote 20 “Variable Interest Entities” for additional information and our activities relating to the VIEs involved in these transactions.</w:t>
      </w:r>
    </w:p>
    <w:p>
      <w:pPr>
        <w:spacing w:after="0" w:line="15" w:lineRule="exact"/>
        <w:rPr>
          <w:rFonts w:ascii="Arial" w:cs="Arial" w:eastAsia="Arial" w:hAnsi="Arial"/>
          <w:sz w:val="16"/>
          <w:szCs w:val="16"/>
          <w:color w:val="auto"/>
        </w:rPr>
      </w:pPr>
    </w:p>
    <w:p>
      <w:pPr>
        <w:ind w:left="980" w:right="100" w:hanging="324"/>
        <w:spacing w:after="0" w:line="259"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$21 million in 2021 and $2 million in 2022.</w:t>
      </w:r>
    </w:p>
    <w:p>
      <w:pPr>
        <w:spacing w:after="0" w:line="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Surety bonds issued as of December 31, 2020 totaled $75 million, the majority of which were requested by federal, state or local governments in connection with our operations.</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2020, we had $3 million of letters of credit outstanding under our Revolving Corporate Credit Facility (as defined in Footnote 17 “Debt”). In addition, as of December 31, 2020,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$3 million, of which $2 million is included within liabilities on our Balance Sheet at December 31, 2020. This estimate is based on our current development plans, which remain subject to change, and we expect the phases currently under development will be completed by the end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December 31, 2020, our maximum exposure under fixed dollar guarantees was $24 million, of which $10 million, $6 million, $3 million, $2 million, $1 million, and $2 million relate to 2021, 2022, 2023, 2024, 2025, and thereafter, respectively. Based on the impact of the COVID-19 pandemic on our rental operations, we declared the occurrence of a force majeure event under many of these agreements, generally effective as of April 1, 2020. As a result, owner distributions made under such agreements will be paid on a net operating income basis, rather than as guaranteed amounts, until such time as force majeure event conditions abate.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 A trial is scheduled to begin in January 2022.</w:t>
      </w:r>
    </w:p>
    <w:p>
      <w:pPr>
        <w:spacing w:after="0" w:line="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February 2019, the owners’ association for the St. Regis NY Club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5" w:name="page116"/>
    <w:bookmarkEnd w:id="115"/>
    <w:p>
      <w:pPr>
        <w:ind w:right="60" w:firstLine="648"/>
        <w:spacing w:after="0" w:line="272" w:lineRule="auto"/>
        <w:rPr>
          <w:sz w:val="20"/>
          <w:szCs w:val="20"/>
          <w:color w:val="auto"/>
        </w:rPr>
      </w:pPr>
      <w:r>
        <w:rPr>
          <w:rFonts w:ascii="Arial" w:cs="Arial" w:eastAsia="Arial" w:hAnsi="Arial"/>
          <w:sz w:val="17"/>
          <w:szCs w:val="17"/>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November 2020, the District Court granted our motion to dismiss and dismissed the case. The plaintiffs have appealed the ruling.</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our leases and the classification on our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Balance Sheet Classification</w:t>
            </w:r>
          </w:p>
        </w:tc>
        <w:tc>
          <w:tcPr>
            <w:tcW w:w="22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26"/>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assets</w:t>
            </w:r>
          </w:p>
        </w:tc>
        <w:tc>
          <w:tcPr>
            <w:tcW w:w="34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33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Accrued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liabilities</w:t>
            </w:r>
          </w:p>
        </w:tc>
        <w:tc>
          <w:tcPr>
            <w:tcW w:w="34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Debt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33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table presents the lease costs and the classification on our Income Statements for the years ended December 31, 2020 and December 31, 2019.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Income Statement Classification</w:t>
            </w:r>
          </w:p>
        </w:tc>
        <w:tc>
          <w:tcPr>
            <w:tcW w:w="500" w:type="dxa"/>
            <w:vAlign w:val="bottom"/>
          </w:tcPr>
          <w:p>
            <w:pPr>
              <w:spacing w:after="0"/>
              <w:rPr>
                <w:sz w:val="18"/>
                <w:szCs w:val="18"/>
                <w:color w:val="auto"/>
              </w:rPr>
            </w:pPr>
          </w:p>
        </w:tc>
        <w:tc>
          <w:tcPr>
            <w:tcW w:w="1580" w:type="dxa"/>
            <w:vAlign w:val="bottom"/>
          </w:tcPr>
          <w:p>
            <w:pPr>
              <w:jc w:val="right"/>
              <w:ind w:right="7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ind w:right="7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2"/>
        </w:trPr>
        <w:tc>
          <w:tcPr>
            <w:tcW w:w="350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38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8"/>
                <w:szCs w:val="18"/>
                <w:color w:val="auto"/>
                <w:w w:val="87"/>
              </w:rPr>
              <w:t>Marketing and sales expense</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500" w:type="dxa"/>
            <w:vAlign w:val="bottom"/>
            <w:vMerge w:val="continue"/>
            <w:shd w:val="clear" w:color="auto" w:fill="CCEEFF"/>
          </w:tcPr>
          <w:p>
            <w:pPr>
              <w:spacing w:after="0"/>
              <w:rPr>
                <w:sz w:val="19"/>
                <w:szCs w:val="19"/>
                <w:color w:val="auto"/>
              </w:rPr>
            </w:pP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General and administrative expense</w:t>
            </w:r>
          </w:p>
        </w:tc>
        <w:tc>
          <w:tcPr>
            <w:tcW w:w="5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Depreciation and amortization</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3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Financing expense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Marketing and sales expense</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80" w:type="dxa"/>
            <w:vAlign w:val="bottom"/>
            <w:vMerge w:val="restart"/>
          </w:tcPr>
          <w:p>
            <w:pPr>
              <w:jc w:val="right"/>
              <w:ind w:right="10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5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color w:val="auto"/>
        </w:rPr>
        <w:t>The following table presents the maturity of our operating and financing lease liabilities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Lease Term and Discount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4"/>
          </w:tcPr>
          <w:p>
            <w:pPr>
              <w:ind w:left="660"/>
              <w:spacing w:after="0"/>
              <w:rPr>
                <w:sz w:val="20"/>
                <w:szCs w:val="20"/>
                <w:color w:val="auto"/>
              </w:rPr>
            </w:pPr>
            <w:r>
              <w:rPr>
                <w:rFonts w:ascii="Arial" w:cs="Arial" w:eastAsia="Arial" w:hAnsi="Arial"/>
                <w:sz w:val="18"/>
                <w:szCs w:val="18"/>
                <w:color w:val="auto"/>
                <w:w w:val="97"/>
              </w:rPr>
              <w:t>The following table presents additional information about our lease obligations.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At December 31, 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At December 31, 2019</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19.1 years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7"/>
              </w:rPr>
              <w:t>10.5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3.0 years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9"/>
              </w:rPr>
              <w:t>1.0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ind w:left="6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66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4"/>
          </w:tcPr>
          <w:p>
            <w:pPr>
              <w:ind w:left="660"/>
              <w:spacing w:after="0"/>
              <w:rPr>
                <w:sz w:val="20"/>
                <w:szCs w:val="20"/>
                <w:color w:val="auto"/>
              </w:rPr>
            </w:pPr>
            <w:r>
              <w:rPr>
                <w:rFonts w:ascii="Arial" w:cs="Arial" w:eastAsia="Arial" w:hAnsi="Arial"/>
                <w:sz w:val="18"/>
                <w:szCs w:val="18"/>
                <w:color w:val="auto"/>
                <w:w w:val="91"/>
              </w:rPr>
              <w:t>The following table presents supplemental cash flow information for 2020 and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measurement of lease liabilities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3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3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3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w w:val="93"/>
              </w:rPr>
              <w:t>Right-of-use assets obtained in exchange for lease obligations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3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3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first quarter of 2020, we entered into a finance lease arrangement for our new global headquarters in Orlando, Florida. The new office building is currently expected to be completed in 2024, at which time the lease term will commence and a right-of-use asset and corresponding liability will be recorded on our balance sheet. The initial lease term is approximately 16 years with total lease payments of $129 million over the aforementioned period. During 2020, in response to the COVID-19 pandemic and our ongoing evaluation of future space needs, we entered into a standstill arrangement with the developer/lessor, which expires in June 2021. The agreement provides for a standstill on certain project spending, extends certain deliverable dates pertaining to the development and lease, and grants us a limited termination option in exchange for reimbursement of certain developer soft costs.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16. 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2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56"/>
        </w:trPr>
        <w:tc>
          <w:tcPr>
            <w:tcW w:w="6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Warehouse Credit Facility, gross</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6"/>
        </w:trPr>
        <w:tc>
          <w:tcPr>
            <w:tcW w:w="6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r>
      <w:tr>
        <w:trPr>
          <w:trHeight w:val="21"/>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1161" w:right="33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as of December 31, 2020 range from 2.3% to 4.4%, with a weighted average interest rate of 2.8%</w:t>
      </w:r>
    </w:p>
    <w:p>
      <w:pPr>
        <w:spacing w:after="0" w:line="63"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Excludes $1 million of unamortized debt issuance costs as of December 31, 2020, as no cash borrowings were outstanding on the Warehouse Credit Facility at that time</w:t>
      </w:r>
    </w:p>
    <w:p>
      <w:pPr>
        <w:spacing w:after="0" w:line="170" w:lineRule="exact"/>
        <w:rPr>
          <w:sz w:val="20"/>
          <w:szCs w:val="20"/>
          <w:color w:val="auto"/>
        </w:rPr>
      </w:pPr>
    </w:p>
    <w:p>
      <w:pPr>
        <w:sectPr>
          <w:pgSz w:w="11900" w:h="16838" w:orient="portrait"/>
          <w:cols w:equalWidth="0" w:num="2">
            <w:col w:w="140" w:space="500"/>
            <w:col w:w="10600"/>
          </w:cols>
          <w:pgMar w:left="320" w:top="1161" w:right="33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20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jc w:val="right"/>
              <w:ind w:right="112"/>
              <w:spacing w:after="0"/>
              <w:rPr>
                <w:sz w:val="20"/>
                <w:szCs w:val="20"/>
                <w:color w:val="auto"/>
              </w:rPr>
            </w:pPr>
            <w:r>
              <w:rPr>
                <w:rFonts w:ascii="Arial" w:cs="Arial" w:eastAsia="Arial" w:hAnsi="Arial"/>
                <w:sz w:val="16"/>
                <w:szCs w:val="16"/>
                <w:b w:val="1"/>
                <w:bCs w:val="1"/>
                <w:color w:val="auto"/>
                <w:w w:val="90"/>
              </w:rPr>
              <w:t>Vacation Ownership Notes Receivable</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912"/>
              <w:spacing w:after="0"/>
              <w:rPr>
                <w:sz w:val="20"/>
                <w:szCs w:val="20"/>
                <w:color w:val="auto"/>
              </w:rPr>
            </w:pPr>
            <w:r>
              <w:rPr>
                <w:rFonts w:ascii="Arial" w:cs="Arial" w:eastAsia="Arial" w:hAnsi="Arial"/>
                <w:sz w:val="16"/>
                <w:szCs w:val="16"/>
                <w:b w:val="1"/>
                <w:bCs w:val="1"/>
                <w:color w:val="auto"/>
              </w:rPr>
              <w:t>Securitizations</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23"/>
        </w:trPr>
        <w:tc>
          <w:tcPr>
            <w:tcW w:w="8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2020, and as of December 31, 2020, no securitized vacation ownership notes receivable pools were out of compliance with their respective established parameters. As of December 31, 2020, we had 12 securitized vacation ownership notes receivable pools outstanding.</w:t>
      </w:r>
    </w:p>
    <w:p>
      <w:pPr>
        <w:spacing w:after="0" w:line="69"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18" w:name="page119"/>
    <w:bookmarkEnd w:id="118"/>
    <w:p>
      <w:pPr>
        <w:ind w:firstLine="648"/>
        <w:spacing w:after="0" w:line="271" w:lineRule="auto"/>
        <w:rPr>
          <w:sz w:val="20"/>
          <w:szCs w:val="20"/>
          <w:color w:val="auto"/>
        </w:rPr>
      </w:pPr>
      <w:r>
        <w:rPr>
          <w:rFonts w:ascii="Arial" w:cs="Arial" w:eastAsia="Arial" w:hAnsi="Arial"/>
          <w:sz w:val="17"/>
          <w:szCs w:val="17"/>
          <w:color w:val="auto"/>
        </w:rPr>
        <w:t>During the third quarter of 2020, we completed the securitization of a pool of $383 million of vacation ownership notes receivable. In connection with the securitization, investors purchased in a private placement $375 million in vacation ownership loan backed notes from MVW 2020-1 LLC (the “2020-1 LLC”).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$300 million was used to repay all outstanding amounts previously drawn under the Warehouse Credit Facility, as defined below, $7 million was used to pay transaction expenses and fund required reserves, and the remainder will be used for general corporate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warehouse credit facility (the “Warehouse Credit Facility”), which has a borrowing capacity of $350 million, allows for the securitization of vacation ownership notes receivable on a revolving non-recourse basis. The Warehouse Credit Facility terminates on December 20, 2021, and if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at least once per year.</w:t>
      </w:r>
    </w:p>
    <w:p>
      <w:pPr>
        <w:spacing w:after="0" w:line="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During the first quarter of 2020, we securitized vacation ownership notes receivable under our Warehouse Credit Facility. The carrying amount of the vacation ownership notes receivable securitized was $240 million. The average advance rate was 84 percent, which resulted in gross proceeds of $202 million. Net proceeds were $201 million due to the funding of reserve accounts of $1 million.</w:t>
      </w:r>
    </w:p>
    <w:p>
      <w:pPr>
        <w:spacing w:after="0" w:line="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second quarter of 2020, we securitized vacation ownership notes receivable under our Warehouse Credit Facility. The carrying amount of the vacation ownership notes receivable securitized was $132 million. The average advance rate was 86 percent, which resulted in gross proceeds of $113 million. Net proceeds were $113 million due to the funding of reserve accounts of less than $1 million.</w:t>
      </w:r>
    </w:p>
    <w:p>
      <w:pPr>
        <w:spacing w:after="0" w:line="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Additionally, during the second quarter of 2020, we amended our Warehouse Credit Facility to increase the borrowing capacity by $181 million, to $531 million. As part of this amendment, the interest rate increased from primarily LIBOR plus 1.1% to primarily LIBOR plus 1.4%. During the third quarter of 2020, we terminated the additional $181 million capacity of the Warehouse Credit Facility.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17.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6"/>
                <w:szCs w:val="16"/>
                <w:b w:val="1"/>
                <w:bCs w:val="1"/>
                <w:color w:val="auto"/>
                <w:w w:val="96"/>
              </w:rPr>
              <w:t>At December 31, 2019</w:t>
            </w:r>
          </w:p>
        </w:tc>
      </w:tr>
      <w:tr>
        <w:trPr>
          <w:trHeight w:val="21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2025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2026 Notes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6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57"/>
        </w:trPr>
        <w:tc>
          <w:tcPr>
            <w:tcW w:w="6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2028 Notes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57"/>
        </w:trPr>
        <w:tc>
          <w:tcPr>
            <w:tcW w:w="6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Credit Facility</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Revolving Corporate Credit Facility</w:t>
            </w:r>
          </w:p>
        </w:tc>
        <w:tc>
          <w:tcPr>
            <w:tcW w:w="22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60" w:hanging="652"/>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Excludes $3 million of unamortized debt issuance costs as of December 31, 2020, as no cash borrowings were outstanding on the Revolving Corporate Credit Facility, as defined below, at that time.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2025 Notes</w:t>
            </w:r>
          </w:p>
        </w:tc>
        <w:tc>
          <w:tcPr>
            <w:tcW w:w="260" w:type="dxa"/>
            <w:vAlign w:val="bottom"/>
          </w:tcPr>
          <w:p>
            <w:pPr>
              <w:spacing w:after="0"/>
              <w:rPr>
                <w:sz w:val="16"/>
                <w:szCs w:val="1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2026 Notes</w:t>
            </w:r>
          </w:p>
        </w:tc>
        <w:tc>
          <w:tcPr>
            <w:tcW w:w="240" w:type="dxa"/>
            <w:vAlign w:val="bottom"/>
          </w:tcPr>
          <w:p>
            <w:pPr>
              <w:spacing w:after="0"/>
              <w:rPr>
                <w:sz w:val="16"/>
                <w:szCs w:val="1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2028 Notes</w:t>
            </w:r>
          </w:p>
        </w:tc>
        <w:tc>
          <w:tcPr>
            <w:tcW w:w="220" w:type="dxa"/>
            <w:vAlign w:val="bottom"/>
          </w:tcPr>
          <w:p>
            <w:pPr>
              <w:spacing w:after="0"/>
              <w:rPr>
                <w:sz w:val="16"/>
                <w:szCs w:val="16"/>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Term Loan</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2022 Convertible</w:t>
            </w:r>
          </w:p>
        </w:tc>
        <w:tc>
          <w:tcPr>
            <w:tcW w:w="360" w:type="dxa"/>
            <w:vAlign w:val="bottom"/>
          </w:tcPr>
          <w:p>
            <w:pPr>
              <w:spacing w:after="0"/>
              <w:rPr>
                <w:sz w:val="16"/>
                <w:szCs w:val="16"/>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Subsequent to the end of 2020, we elected to repay $100 million of the principal of our Term Loan.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the second quarter of 2020, we issued $500 million aggregate principal amount of 6.125% Senior Secured Notes due September 15, 2025 (the “2025 Notes”). The 2025 Notes are pari passu with, and secured by the same collateral as, our Corporate Credit Facility. We pay interest on the 2025 Notes on May 15 and November 15 of each year, commencing on November 15, 2020. We received net proceeds of approximately $493 million from the offering of the 2025 Notes, after deducting offering expenses and the underwriting discount, which were used to repay all amounts outstanding at that time on the Revolving Corporate Credit Facility. We may redeem some or all of the 2025 Notes prior to maturity under the terms provided in the indenture.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Unsecured Notes, as further discussed below, include the following:</w:t>
      </w:r>
    </w:p>
    <w:p>
      <w:pPr>
        <w:spacing w:after="0" w:line="63" w:lineRule="exact"/>
        <w:rPr>
          <w:sz w:val="20"/>
          <w:szCs w:val="20"/>
          <w:color w:val="auto"/>
        </w:rPr>
      </w:pPr>
    </w:p>
    <w:p>
      <w:pPr>
        <w:ind w:left="980" w:right="6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 and</w:t>
      </w:r>
    </w:p>
    <w:p>
      <w:pPr>
        <w:spacing w:after="0" w:line="8"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issued the 2026 Notes under an indenture dated August 23, 2018 with The Bank of New York Mellon Trust, as trustee. We received net proceeds of $742 million from the offering, after deducting the underwriting discount and estimated expenses. We used these proceeds, together with the borrowings under the Term Loan (defined below) primarily to finance the cash component of the consideration paid in the ILG Acquisition to ILG shareholders, certain fees and expenses we incurred in connection with the ILG Acquisition and working capital. We pay interest on the 2026 Notes on March 15 and September 15 of each year, commencing on March 15, 2019. We may redeem some or all of the 2026 Notes prior to maturity under the terms provided in the indenture.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2028 Notes</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issued the 2028 Notes under an indenture dated October 1, 2019 with The Bank of New York Mellon Trust, as trustee. We received net proceeds of $346 million from the offering, after deducting the underwriting discount and estimated expenses. The net proceeds from the 2028 Notes were used (i) to redeem all of the outstanding 5.625% Senior Unsecured Notes due 2023 assumed in connection with the ILG Acquisition (the “IAC Notes”), (ii) to redeem all of the outstanding 5.625% Senior Unsecured Notes due 2023 offered in exchange for the IAC Notes during the third quarter of 2018 (the “Exchange Notes”), (iii) to repay a portion of the outstanding borrowings under our Revolving Corporate Credit Facility, (iv) to pay transaction expenses and fees in connection with each of the foregoing and (v) for general corporate purposes. We pay interest on the 2028 Notes on March 15 and September 15 of each year, commencing on March 15, 2020. We may redeem some or all of the 2028 Notes prior to maturity under the terms provided in the indenture.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w:t>
      </w:r>
    </w:p>
    <w:p>
      <w:pPr>
        <w:spacing w:after="0" w:line="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May 2020, we entered into a waiver (the “Waiver”) to the agreement that governs our Corporate Credit Facility. The Waiver, among other things, suspends the requirement to comply with the leverage covenant in the Revolving Corporate Credit Facility, commencing with the fiscal quarter ending June 30, 2020. The initial suspension period included in the Waiver was up to four quarters, however, in February 2021, subsequent to the end of 2020, we further amended the agreement governing our Corporate Credit Facility to extend the suspension period included in the Waiver through the end of 2021. We are required to maintain monthly minimum liquidity of at least $300 million until the later of December 31, 2021 or the end of the suspension period. In addition, for the duration of the period during which the waiver of the leverage covenant remains in effect, we are prohibited from making certain restricted payments, including share repurchases and dividends. If we are not in compliance with the leverage covenant at the end of the suspension period, we will seek to negotiate with our lenders to amend such covenant, as needed.</w:t>
      </w:r>
    </w:p>
    <w:p>
      <w:pPr>
        <w:spacing w:after="0" w:line="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December 31, 2020 and December 31, 2019. We characterize payments we make in connection with these derivative instruments as interest expense and a reclassification of accumulated other comprehensive income for presentation purposes.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in accumulated other comprehensive loss related to our derivative instruments during 2020,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2018</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360" w:type="dxa"/>
            <w:vAlign w:val="bottom"/>
          </w:tcPr>
          <w:p>
            <w:pPr>
              <w:spacing w:after="0"/>
              <w:rPr>
                <w:sz w:val="19"/>
                <w:szCs w:val="19"/>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(6)</w:t>
            </w:r>
          </w:p>
        </w:tc>
      </w:tr>
      <w:tr>
        <w:trPr>
          <w:trHeight w:val="229"/>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to Income Statement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other comprehensive loss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772"/>
              <w:spacing w:after="0"/>
              <w:rPr>
                <w:sz w:val="20"/>
                <w:szCs w:val="20"/>
                <w:color w:val="auto"/>
              </w:rPr>
            </w:pPr>
            <w:r>
              <w:rPr>
                <w:rFonts w:ascii="Arial" w:cs="Arial" w:eastAsia="Arial" w:hAnsi="Arial"/>
                <w:sz w:val="18"/>
                <w:szCs w:val="18"/>
                <w:color w:val="auto"/>
                <w:w w:val="93"/>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 Adjustment,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3"/>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2017, we issued an aggregate principal amount of $230 million of 2022 Convertible Notes that bear interest at a rate of 1.50 percent, payable in cash semi-annually. The 2022 Convertible Notes mature on September 15, 2022, unless repurchased or converted in accordance with their terms prior to that date.</w:t>
      </w:r>
    </w:p>
    <w:p>
      <w:pPr>
        <w:spacing w:after="0" w:line="7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 of December 31, 2020 to 6.8115 shares of common stock per $1,000 principal amount of 2022 Convertible Notes (equivalent to a conversion price of approximately $146.81 per share of our common stock), as a result of the $0.54 per share quarterly dividends declared during the first quarter of 2020, which was greater than the quarterly dividend when the 2022 Convertible Notes were issued. Upon conversion, we will pay or deliver, as the case may be, cash, shares of our common stock or a combination of cash and shares of our common stock, at our election. It is our intent to settle conversions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2" w:name="page123"/>
    <w:bookmarkEnd w:id="122"/>
    <w:p>
      <w:pPr>
        <w:ind w:right="40"/>
        <w:spacing w:after="0" w:line="277" w:lineRule="auto"/>
        <w:rPr>
          <w:sz w:val="20"/>
          <w:szCs w:val="20"/>
          <w:color w:val="auto"/>
        </w:rPr>
      </w:pPr>
      <w:r>
        <w:rPr>
          <w:rFonts w:ascii="Arial" w:cs="Arial" w:eastAsia="Arial" w:hAnsi="Arial"/>
          <w:sz w:val="18"/>
          <w:szCs w:val="18"/>
          <w:color w:val="auto"/>
        </w:rPr>
        <w:t>the 2022 Convertible Notes through combination settlement, which contemplates repayment in cash of the principal amount and repayment in shares of our common stock of any excess of the conversion value over the principal amount.</w:t>
      </w:r>
    </w:p>
    <w:p>
      <w:pPr>
        <w:spacing w:after="0" w:line="6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Holders may convert their 2022 Convertible Notes prior to June 15, 2022 only under certain circumstances. We may not redeem the 2022 Convertible Notes prior to their maturity date. If we undergo a fundamental change, as described in the indenture, subject to certain conditions, holders may require us to repurchase for cash all or any portion of their 2022 Convertible Notes, at a repurchase price equal to 100 percent of the principal amount of the 2022 Convertible Notes to be repurchased, plus accrued and unpaid interest to, but excluding, the repurchase date. If certain fundamental changes referred to in the indenture as make-whole fundamental changes occur, the conversion rate applicable to the 2022 Convertible Notes may increase.</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the effective interest rate was 4.7 percent and the remaining debt discount amortization period was 1.7 years.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2022 Convertible Notes: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2020</w:t>
            </w:r>
          </w:p>
        </w:tc>
        <w:tc>
          <w:tcPr>
            <w:tcW w:w="220" w:type="dxa"/>
            <w:vAlign w:val="bottom"/>
          </w:tcPr>
          <w:p>
            <w:pPr>
              <w:spacing w:after="0"/>
              <w:rPr>
                <w:sz w:val="18"/>
                <w:szCs w:val="18"/>
                <w:color w:val="auto"/>
              </w:rPr>
            </w:pPr>
          </w:p>
        </w:tc>
        <w:tc>
          <w:tcPr>
            <w:tcW w:w="194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At December 31, 2019</w:t>
            </w:r>
          </w:p>
        </w:tc>
      </w:tr>
      <w:tr>
        <w:trPr>
          <w:trHeight w:val="213"/>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200"/>
              <w:spacing w:after="0"/>
              <w:rPr>
                <w:sz w:val="20"/>
                <w:szCs w:val="20"/>
                <w:color w:val="auto"/>
              </w:rPr>
            </w:pPr>
            <w:r>
              <w:rPr>
                <w:rFonts w:ascii="Arial" w:cs="Arial" w:eastAsia="Arial" w:hAnsi="Arial"/>
                <w:sz w:val="18"/>
                <w:szCs w:val="18"/>
                <w:color w:val="auto"/>
              </w:rPr>
              <w:t>Principal amount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debt discount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the liability component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 net of issuance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2022 Convertible Notes: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Footnote 23 “Subsequent Events” for information on convertible notes, convertible note hedges and warrants issued subsequent to the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 Hedges and Warrants</w:t>
      </w:r>
    </w:p>
    <w:p>
      <w:pPr>
        <w:spacing w:after="0" w:line="11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In connection with the offering of the 2022 Convertible Notes, we concurrently entered into the following privately-negotiated separate transactions: convertible note hedge transactions with respect to our common stock (“2022 Convertible Note Hedges”), initially covering a total of approximately 1.55 million shares of our common stock, and warrant transactions (“2022 Warrants”), whereby we sold to the counterparties to the 2022 Convertible Note Hedges warrants to acquire approximately 1.55 million shares of our common stock at an initial strike price of $176.68 per share. As of December 31, 2020, no 2022 Convertible Note Hedges or 2022 Warrants have been exercised. The 2022 Warrants will expire in ratable portions on a series of expiration dates commencing on December 15, 2022.</w:t>
      </w:r>
    </w:p>
    <w:p>
      <w:pPr>
        <w:spacing w:after="0" w:line="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2022 Convertible Notes, the 2022 Convertible Note Hedges and the 2022 Warrants are transactions that are separate from each other. Holders of any such instrument have no rights with respect to the other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15 “Leases” for information on our finance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1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2025 Notes, the 2026 Notes and the 2028 Notes are guaranteed by MVWC and certain of our direct and indirect, existing and future, domestic subsidiaries, excluding bankruptcy remote special purpose subsidiaries.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18. SHAREHOLDERS’ EQUITY</w:t>
      </w:r>
    </w:p>
    <w:p>
      <w:pPr>
        <w:spacing w:after="0" w:line="121"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December 31, 2020, there were 75,279,061 shares of Marriott Vacations Worldwide common stock issued, of which 41,094,248 shares were outstanding and 34,184,813 shares were held as treasury stock. At December 31, 2019, there were 75,020,272 shares of Marriott Vacations Worldwide common stock issued, of which 41,582,096 shares were outstanding and 33,438,176 shares were held as treasury stock. Marriott Vacations Worldwide has 2,000,000 authorized shares of preferred stock, par value of $0.01 per share, none of which were issued or outstanding as of December 31, 2020 or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share repurchase activity under our share repurchase program, which expired on December 31,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240" w:type="dxa"/>
            <w:vAlign w:val="bottom"/>
          </w:tcPr>
          <w:p>
            <w:pPr>
              <w:spacing w:after="0"/>
              <w:rPr>
                <w:sz w:val="16"/>
                <w:szCs w:val="16"/>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Cost of Shares</w:t>
            </w:r>
          </w:p>
        </w:tc>
        <w:tc>
          <w:tcPr>
            <w:tcW w:w="240" w:type="dxa"/>
            <w:vAlign w:val="bottom"/>
          </w:tcPr>
          <w:p>
            <w:pPr>
              <w:spacing w:after="0"/>
              <w:rPr>
                <w:sz w:val="16"/>
                <w:szCs w:val="16"/>
                <w:color w:val="auto"/>
              </w:rPr>
            </w:pPr>
          </w:p>
        </w:tc>
        <w:tc>
          <w:tcPr>
            <w:tcW w:w="152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Repurchased</w:t>
            </w:r>
          </w:p>
        </w:tc>
        <w:tc>
          <w:tcPr>
            <w:tcW w:w="240" w:type="dxa"/>
            <w:vAlign w:val="bottom"/>
          </w:tcPr>
          <w:p>
            <w:pPr>
              <w:spacing w:after="0"/>
              <w:rPr>
                <w:sz w:val="18"/>
                <w:szCs w:val="18"/>
                <w:color w:val="auto"/>
              </w:rPr>
            </w:pPr>
          </w:p>
        </w:tc>
        <w:tc>
          <w:tcPr>
            <w:tcW w:w="1520" w:type="dxa"/>
            <w:vAlign w:val="bottom"/>
          </w:tcPr>
          <w:p>
            <w:pPr>
              <w:jc w:val="right"/>
              <w:ind w:right="274"/>
              <w:spacing w:after="0"/>
              <w:rPr>
                <w:sz w:val="20"/>
                <w:szCs w:val="20"/>
                <w:color w:val="auto"/>
              </w:rPr>
            </w:pPr>
            <w:r>
              <w:rPr>
                <w:rFonts w:ascii="Arial" w:cs="Arial" w:eastAsia="Arial" w:hAnsi="Arial"/>
                <w:sz w:val="16"/>
                <w:szCs w:val="16"/>
                <w:b w:val="1"/>
                <w:bCs w:val="1"/>
                <w:color w:val="auto"/>
              </w:rPr>
              <w:t>Paid per Share</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16,418,950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 the year ended December 31,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year ended December 31, 2020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226"/>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14, 2020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27, 2020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rPr>
              <w:t>$0.54</w:t>
            </w:r>
          </w:p>
        </w:tc>
      </w:tr>
    </w:tbl>
    <w:p>
      <w:pPr>
        <w:spacing w:after="0" w:line="9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Due to the impact of the COVID-19 pandemic, we temporarily suspended cash dividends. Any future dividend payments will be subject to both the restrictions imposed under the Waiver and other agreements covering our debt, Board approval, and there can be no assurance that we will pay dividends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consolidate certain property owners’ associations. Noncontrolling interests represents the portion of the property owners’ associations related to individual or third-party vacation ownership interest owners. Noncontrolling interests of $31 million and $12 million, as of December 31, 2020 and December 31, 2019, respectively, are included on our Balance Sheets as a component of equity.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MVW Equity Plan is maintained for the benefit of our officers, directors and employees. Under the MVW Equity Plan, we are authorized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award: (1) RSUs of our common stock, (2) SARs relating to our common stock, and (3) stock options to purchase our common stock. A total of 1.8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are authorized for issuance pursuant to grants under the MVW Equity Plan. As of December 31, 2020, approximately 1.7 million shares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for grants under the MVW Equity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5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2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2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Arial" w:cs="Arial" w:eastAsia="Arial" w:hAnsi="Arial"/>
                <w:sz w:val="18"/>
                <w:szCs w:val="18"/>
                <w:color w:val="auto"/>
              </w:rPr>
              <w:t>122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1"/>
                <w:szCs w:val="21"/>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Year-End 2020</w:t>
            </w:r>
            <w:r>
              <w:rPr>
                <w:rFonts w:ascii="Arial" w:cs="Arial" w:eastAsia="Arial" w:hAnsi="Arial"/>
                <w:sz w:val="21"/>
                <w:szCs w:val="21"/>
                <w:b w:val="1"/>
                <w:bCs w:val="1"/>
                <w:color w:val="auto"/>
                <w:vertAlign w:val="superscript"/>
              </w:rPr>
              <w:t>(1)</w:t>
            </w:r>
          </w:p>
        </w:tc>
        <w:tc>
          <w:tcPr>
            <w:tcW w:w="240" w:type="dxa"/>
            <w:vAlign w:val="bottom"/>
          </w:tcPr>
          <w:p>
            <w:pPr>
              <w:spacing w:after="0"/>
              <w:rPr>
                <w:sz w:val="21"/>
                <w:szCs w:val="21"/>
                <w:color w:val="auto"/>
              </w:rPr>
            </w:pPr>
          </w:p>
        </w:tc>
        <w:tc>
          <w:tcPr>
            <w:tcW w:w="1740" w:type="dxa"/>
            <w:vAlign w:val="bottom"/>
          </w:tcPr>
          <w:p>
            <w:pPr>
              <w:jc w:val="right"/>
              <w:ind w:right="271"/>
              <w:spacing w:after="0"/>
              <w:rPr>
                <w:sz w:val="20"/>
                <w:szCs w:val="20"/>
                <w:color w:val="auto"/>
              </w:rPr>
            </w:pPr>
            <w:r>
              <w:rPr>
                <w:rFonts w:ascii="Arial" w:cs="Arial" w:eastAsia="Arial" w:hAnsi="Arial"/>
                <w:sz w:val="16"/>
                <w:szCs w:val="16"/>
                <w:b w:val="1"/>
                <w:bCs w:val="1"/>
                <w:color w:val="auto"/>
              </w:rPr>
              <w:t>At Year-End 2019</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60" w:hanging="652"/>
        <w:spacing w:after="0" w:line="227"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the weighted average remaining term for RSU grants outstanding at year-end 2020 was one to two years and we expect that deferred compensation expense will be recognized over a weighted average period of one to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issued RSUs that vest over time, which we refer to as service-based RSUs, and RSUs that vest based on performance with respect to established criteria, which we refer to as performance-based RSUs.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RSUs and the associated weighted average grant-date fair values: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780" w:type="dxa"/>
            <w:vAlign w:val="bottom"/>
            <w:gridSpan w:val="5"/>
          </w:tcPr>
          <w:p>
            <w:pPr>
              <w:ind w:left="860"/>
              <w:spacing w:after="0"/>
              <w:rPr>
                <w:sz w:val="20"/>
                <w:szCs w:val="20"/>
                <w:color w:val="auto"/>
              </w:rPr>
            </w:pPr>
            <w:r>
              <w:rPr>
                <w:rFonts w:ascii="Arial" w:cs="Arial" w:eastAsia="Arial" w:hAnsi="Arial"/>
                <w:sz w:val="16"/>
                <w:szCs w:val="16"/>
                <w:b w:val="1"/>
                <w:bCs w:val="1"/>
                <w:color w:val="auto"/>
              </w:rPr>
              <w:t>Service-based</w:t>
            </w:r>
          </w:p>
        </w:tc>
        <w:tc>
          <w:tcPr>
            <w:tcW w:w="2780" w:type="dxa"/>
            <w:vAlign w:val="bottom"/>
            <w:gridSpan w:val="5"/>
          </w:tcPr>
          <w:p>
            <w:pPr>
              <w:ind w:left="660"/>
              <w:spacing w:after="0"/>
              <w:rPr>
                <w:sz w:val="20"/>
                <w:szCs w:val="20"/>
                <w:color w:val="auto"/>
              </w:rPr>
            </w:pPr>
            <w:r>
              <w:rPr>
                <w:rFonts w:ascii="Arial" w:cs="Arial" w:eastAsia="Arial" w:hAnsi="Arial"/>
                <w:sz w:val="16"/>
                <w:szCs w:val="16"/>
                <w:b w:val="1"/>
                <w:bCs w:val="1"/>
                <w:color w:val="auto"/>
              </w:rPr>
              <w:t>Performance-based</w:t>
            </w:r>
          </w:p>
        </w:tc>
        <w:tc>
          <w:tcPr>
            <w:tcW w:w="1060" w:type="dxa"/>
            <w:vAlign w:val="bottom"/>
          </w:tcPr>
          <w:p>
            <w:pPr>
              <w:spacing w:after="0"/>
              <w:rPr>
                <w:sz w:val="18"/>
                <w:szCs w:val="18"/>
                <w:color w:val="auto"/>
              </w:rPr>
            </w:pPr>
          </w:p>
        </w:tc>
        <w:tc>
          <w:tcPr>
            <w:tcW w:w="1620" w:type="dxa"/>
            <w:vAlign w:val="bottom"/>
            <w:gridSpan w:val="3"/>
          </w:tcPr>
          <w:p>
            <w:pPr>
              <w:jc w:val="right"/>
              <w:ind w:right="10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Per RSU</w:t>
            </w: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Per RSU</w:t>
            </w:r>
          </w:p>
        </w:tc>
        <w:tc>
          <w:tcPr>
            <w:tcW w:w="1060" w:type="dxa"/>
            <w:vAlign w:val="bottom"/>
          </w:tcPr>
          <w:p>
            <w:pPr>
              <w:jc w:val="right"/>
              <w:ind w:right="25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 Per RSU</w:t>
            </w:r>
          </w:p>
        </w:tc>
        <w:tc>
          <w:tcPr>
            <w:tcW w:w="0" w:type="dxa"/>
            <w:vAlign w:val="bottom"/>
          </w:tcPr>
          <w:p>
            <w:pPr>
              <w:spacing w:after="0"/>
              <w:rPr>
                <w:sz w:val="1"/>
                <w:szCs w:val="1"/>
                <w:color w:val="auto"/>
              </w:rPr>
            </w:pP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648,575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1,137,897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348,890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177,208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526,098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(50,496)</w:t>
            </w:r>
          </w:p>
        </w:tc>
        <w:tc>
          <w:tcPr>
            <w:tcW w:w="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94.32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550,171</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weighted average grant-date fair value per RSU granted in 2019 and 2018 was $92.53 and $120.04, respectively. The fair value of the RSUs which vested in 2020 was $30 million, and included $6 million related to RSUs converted from ILG equity-based RSUs to MVW equity-based RSUs in the ILG Acquisition. The fair value of the RSUs which vested in 2019 was $34 million, and included $15 million related to RSUs converted in the ILG Acquisition. The fair value of the RSUs which vested in 2018 was $48 million, and included $24 million related to RSUs converted in the ILG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SARs and the associated weighted average exercise prices: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2173"/>
              <w:spacing w:after="0"/>
              <w:rPr>
                <w:sz w:val="20"/>
                <w:szCs w:val="20"/>
                <w:color w:val="auto"/>
              </w:rPr>
            </w:pPr>
            <w:r>
              <w:rPr>
                <w:rFonts w:ascii="Arial" w:cs="Arial" w:eastAsia="Arial" w:hAnsi="Arial"/>
                <w:sz w:val="16"/>
                <w:szCs w:val="16"/>
                <w:b w:val="1"/>
                <w:bCs w:val="1"/>
                <w:color w:val="auto"/>
              </w:rPr>
              <w:t>2020</w:t>
            </w:r>
          </w:p>
        </w:tc>
      </w:tr>
      <w:tr>
        <w:trPr>
          <w:trHeight w:val="159"/>
        </w:trPr>
        <w:tc>
          <w:tcPr>
            <w:tcW w:w="6100" w:type="dxa"/>
            <w:vAlign w:val="bottom"/>
          </w:tcPr>
          <w:p>
            <w:pPr>
              <w:spacing w:after="0"/>
              <w:rPr>
                <w:sz w:val="13"/>
                <w:szCs w:val="13"/>
                <w:color w:val="auto"/>
              </w:rPr>
            </w:pPr>
          </w:p>
        </w:tc>
        <w:tc>
          <w:tcPr>
            <w:tcW w:w="2160" w:type="dxa"/>
            <w:vAlign w:val="bottom"/>
          </w:tcPr>
          <w:p>
            <w:pPr>
              <w:jc w:val="right"/>
              <w:ind w:right="613"/>
              <w:spacing w:after="0" w:line="158" w:lineRule="exact"/>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jc w:val="right"/>
              <w:ind w:right="53"/>
              <w:spacing w:after="0" w:line="158" w:lineRule="exact"/>
              <w:rPr>
                <w:sz w:val="20"/>
                <w:szCs w:val="20"/>
                <w:color w:val="auto"/>
              </w:rPr>
            </w:pPr>
            <w:r>
              <w:rPr>
                <w:rFonts w:ascii="Arial" w:cs="Arial" w:eastAsia="Arial" w:hAnsi="Arial"/>
                <w:sz w:val="16"/>
                <w:szCs w:val="16"/>
                <w:b w:val="1"/>
                <w:bCs w:val="1"/>
                <w:color w:val="auto"/>
                <w:w w:val="89"/>
              </w:rPr>
              <w:t>Weighted Average Exercise Price</w:t>
            </w:r>
          </w:p>
        </w:tc>
      </w:tr>
      <w:tr>
        <w:trPr>
          <w:trHeight w:val="213"/>
        </w:trPr>
        <w:tc>
          <w:tcPr>
            <w:tcW w:w="6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793"/>
              <w:spacing w:after="0"/>
              <w:rPr>
                <w:sz w:val="20"/>
                <w:szCs w:val="20"/>
                <w:color w:val="auto"/>
              </w:rPr>
            </w:pPr>
            <w:r>
              <w:rPr>
                <w:rFonts w:ascii="Arial" w:cs="Arial" w:eastAsia="Arial" w:hAnsi="Arial"/>
                <w:sz w:val="16"/>
                <w:szCs w:val="16"/>
                <w:b w:val="1"/>
                <w:bCs w:val="1"/>
                <w:color w:val="auto"/>
              </w:rPr>
              <w:t>SARs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893"/>
              <w:spacing w:after="0"/>
              <w:rPr>
                <w:sz w:val="20"/>
                <w:szCs w:val="20"/>
                <w:color w:val="auto"/>
              </w:rPr>
            </w:pPr>
            <w:r>
              <w:rPr>
                <w:rFonts w:ascii="Arial" w:cs="Arial" w:eastAsia="Arial" w:hAnsi="Arial"/>
                <w:sz w:val="16"/>
                <w:szCs w:val="16"/>
                <w:b w:val="1"/>
                <w:bCs w:val="1"/>
                <w:color w:val="auto"/>
              </w:rPr>
              <w:t>Per SAR</w:t>
            </w: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year-end 2019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Granted</w:t>
            </w:r>
          </w:p>
        </w:tc>
        <w:tc>
          <w:tcPr>
            <w:tcW w:w="2160" w:type="dxa"/>
            <w:vAlign w:val="bottom"/>
          </w:tcPr>
          <w:p>
            <w:pPr>
              <w:jc w:val="right"/>
              <w:spacing w:after="0"/>
              <w:rPr>
                <w:sz w:val="20"/>
                <w:szCs w:val="20"/>
                <w:color w:val="auto"/>
              </w:rPr>
            </w:pPr>
            <w:r>
              <w:rPr>
                <w:rFonts w:ascii="Arial" w:cs="Arial" w:eastAsia="Arial" w:hAnsi="Arial"/>
                <w:sz w:val="18"/>
                <w:szCs w:val="18"/>
                <w:color w:val="auto"/>
              </w:rPr>
              <w:t>116,434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96.82</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 or expired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97.95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year-end 2020</w:t>
            </w:r>
            <w:r>
              <w:rPr>
                <w:rFonts w:ascii="Arial" w:cs="Arial" w:eastAsia="Arial" w:hAnsi="Arial"/>
                <w:sz w:val="10"/>
                <w:szCs w:val="10"/>
                <w:color w:val="auto"/>
              </w:rPr>
              <w:t>(1)(2)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20"/>
          </w:cols>
          <w:pgMar w:left="320" w:top="1111" w:right="35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outstanding SARs had a total intrinsic value of $33 million and a weighted average remaining term of 6 years.</w:t>
      </w:r>
    </w:p>
    <w:p>
      <w:pPr>
        <w:spacing w:after="0" w:line="86"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As of December 31, 2020, 381,067 SARs with a weighted average exercise price of $72.57, an aggregate intrinsic value of $25 million and a weighted average remaining contractual term of 5 years were exercisable.</w:t>
      </w:r>
    </w:p>
    <w:p>
      <w:pPr>
        <w:spacing w:after="0" w:line="200" w:lineRule="exact"/>
        <w:rPr>
          <w:sz w:val="20"/>
          <w:szCs w:val="20"/>
          <w:color w:val="auto"/>
        </w:rPr>
      </w:pPr>
    </w:p>
    <w:p>
      <w:pPr>
        <w:sectPr>
          <w:pgSz w:w="11900" w:h="16838" w:orient="portrait"/>
          <w:cols w:equalWidth="0" w:num="2">
            <w:col w:w="140" w:space="500"/>
            <w:col w:w="10580"/>
          </w:cols>
          <w:pgMar w:left="320" w:top="1111" w:right="35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125" w:name="page126"/>
    <w:bookmarkEnd w:id="125"/>
    <w:p>
      <w:pPr>
        <w:ind w:right="160" w:firstLine="648"/>
        <w:spacing w:after="0" w:line="286" w:lineRule="auto"/>
        <w:rPr>
          <w:sz w:val="20"/>
          <w:szCs w:val="20"/>
          <w:color w:val="auto"/>
        </w:rPr>
      </w:pPr>
      <w:r>
        <w:rPr>
          <w:rFonts w:ascii="Arial" w:cs="Arial" w:eastAsia="Arial" w:hAnsi="Arial"/>
          <w:sz w:val="17"/>
          <w:szCs w:val="17"/>
          <w:color w:val="auto"/>
        </w:rPr>
        <w:t>The weighted average grant-date fair value per SAR granted in 2020, 2019, and 2018 was $29.63, $28.89, and $44.75, respectively. The intrinsic value of SARs which vested in 2020, 2019, and 2018, was $4 million, $4 million, and less than $1 million, respectively. The aggregate intrinsic value of SARs which were exercised in 2020, 2019, and 2018 was $19 million, $11 million, and $2 million, respectively.</w:t>
      </w:r>
    </w:p>
    <w:p>
      <w:pPr>
        <w:spacing w:after="0" w:line="5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The expected stock price volatility was calculated based on the average of the historical and implied volatility from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in 2020, 2019, and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38.81%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30.78%</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2.13%</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1.76%</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2.68%</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6.25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6.25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may grant non-qualified stock options to employees and non-employee directors at exercise prices or strike prices equal to the market price of our common stock on the date of grant.</w:t>
      </w:r>
    </w:p>
    <w:p>
      <w:pPr>
        <w:spacing w:after="0" w:line="6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There were no outstanding or exercisable stock options held by our employees at year-end 2020 or 2019, and no stock options were granted to our employees in 2020, 2019, or 2018. At December 31, 2020, approximately 700 stock options were outstanding and exercisable with a weighted average exercise price per option of $23.46 and a weighted average remaining life of less than one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During 2015, the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Vacation Ownership</w:t>
            </w: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7"/>
              </w:rPr>
              <w:t>Notes Receivable</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4"/>
                <w:szCs w:val="14"/>
                <w:color w:val="auto"/>
              </w:rPr>
            </w:pPr>
          </w:p>
        </w:tc>
        <w:tc>
          <w:tcPr>
            <w:tcW w:w="136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Securitizations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 of reserves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interest income and expense recognized as a result of our involvement with these VIEs during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760" w:type="dxa"/>
            <w:vAlign w:val="bottom"/>
          </w:tcPr>
          <w:p>
            <w:pPr>
              <w:jc w:val="center"/>
              <w:ind w:left="274"/>
              <w:spacing w:after="0"/>
              <w:rPr>
                <w:sz w:val="20"/>
                <w:szCs w:val="20"/>
                <w:color w:val="auto"/>
              </w:rPr>
            </w:pPr>
            <w:r>
              <w:rPr>
                <w:rFonts w:ascii="Arial" w:cs="Arial" w:eastAsia="Arial" w:hAnsi="Arial"/>
                <w:sz w:val="16"/>
                <w:szCs w:val="16"/>
                <w:b w:val="1"/>
                <w:bCs w:val="1"/>
                <w:color w:val="auto"/>
                <w:w w:val="90"/>
              </w:rPr>
              <w:t>Vacation Ownership</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Warehouse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760" w:type="dxa"/>
            <w:vAlign w:val="bottom"/>
          </w:tcPr>
          <w:p>
            <w:pPr>
              <w:jc w:val="center"/>
              <w:ind w:left="274"/>
              <w:spacing w:after="0" w:line="162" w:lineRule="exact"/>
              <w:rPr>
                <w:sz w:val="20"/>
                <w:szCs w:val="20"/>
                <w:color w:val="auto"/>
              </w:rPr>
            </w:pPr>
            <w:r>
              <w:rPr>
                <w:rFonts w:ascii="Arial" w:cs="Arial" w:eastAsia="Arial" w:hAnsi="Arial"/>
                <w:sz w:val="16"/>
                <w:szCs w:val="16"/>
                <w:b w:val="1"/>
                <w:bCs w:val="1"/>
                <w:color w:val="auto"/>
                <w:w w:val="87"/>
              </w:rPr>
              <w:t>Notes Receivable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Credit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Borders>
              <w:bottom w:val="single" w:sz="8" w:color="auto"/>
            </w:tcBorders>
          </w:tcPr>
          <w:p>
            <w:pPr>
              <w:jc w:val="center"/>
              <w:ind w:left="274"/>
              <w:spacing w:after="0"/>
              <w:rPr>
                <w:sz w:val="20"/>
                <w:szCs w:val="20"/>
                <w:color w:val="auto"/>
              </w:rPr>
            </w:pPr>
            <w:r>
              <w:rPr>
                <w:rFonts w:ascii="Arial" w:cs="Arial" w:eastAsia="Arial" w:hAnsi="Arial"/>
                <w:sz w:val="16"/>
                <w:szCs w:val="16"/>
                <w:b w:val="1"/>
                <w:bCs w:val="1"/>
                <w:color w:val="auto"/>
                <w:w w:val="91"/>
              </w:rPr>
              <w:t>Securitizations</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Facility</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jc w:val="right"/>
              <w:ind w:right="155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1760" w:type="dxa"/>
            <w:vAlign w:val="bottom"/>
          </w:tcPr>
          <w:p>
            <w:pPr>
              <w:jc w:val="right"/>
              <w:ind w:right="155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1760" w:type="dxa"/>
            <w:vAlign w:val="bottom"/>
            <w:shd w:val="clear" w:color="auto" w:fill="CCEEFF"/>
          </w:tcPr>
          <w:p>
            <w:pPr>
              <w:jc w:val="right"/>
              <w:ind w:right="155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760" w:type="dxa"/>
            <w:vAlign w:val="bottom"/>
          </w:tcPr>
          <w:p>
            <w:pPr>
              <w:jc w:val="right"/>
              <w:ind w:right="155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960" w:type="dxa"/>
            <w:vAlign w:val="bottom"/>
            <w:gridSpan w:val="6"/>
          </w:tcPr>
          <w:p>
            <w:pPr>
              <w:ind w:left="660"/>
              <w:spacing w:after="0"/>
              <w:rPr>
                <w:sz w:val="20"/>
                <w:szCs w:val="20"/>
                <w:color w:val="auto"/>
              </w:rPr>
            </w:pPr>
            <w:r>
              <w:rPr>
                <w:rFonts w:ascii="Arial" w:cs="Arial" w:eastAsia="Arial" w:hAnsi="Arial"/>
                <w:sz w:val="18"/>
                <w:szCs w:val="18"/>
                <w:color w:val="auto"/>
                <w:w w:val="90"/>
              </w:rPr>
              <w:t>The following table shows cash flows between us and the vacation ownership notes receivable securitization VIEs: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97"/>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1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1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1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1,092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Voluntary clean-up call</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1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17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tcPr>
          <w:p>
            <w:pPr>
              <w:jc w:val="right"/>
              <w:ind w:right="9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$95 million during 2020, $54 million during 2019 and $31 million during 2018. We also made voluntary repurchases, net of substitutions, of $383 million, $356 million and $39 million of other non-defaulted vacation ownership notes receivable during 2020, 2019 and 2018, respectively, to retire previous vacation ownership notes receivable securitizations. Our maximum exposure to potential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Repayment of Warehouse Credit Facility</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We expect to acquire the operating property over time and as of December 31, 2020 are committed to make payments for the operating property as follows: $32 million in 2021, $24 million in 2022, and $32 million in 2023. See Footnote 4 “Acquisitions and Dispositions” for information on the purchases that occurred during 2020 and 2019. We are required to purchase the property from the third party developer unless the developer has sold the property to another party. The property is held by a VIE for which we are not the primary beneficiary as we cannot prevent the VIE from selling the property to another party at a higher price. Accordingly, we have not consolidated the VIE. As of December 31, 2020, our Balance Sheet reflected $2 million in Accounts Receivable, including a note receivable of less than $1 million, and $5 million in Other assets for a deposit related to the acquisition of a portion of this property. We believe that our maximum exposure to loss as a result of our involvement with this VIE is approximately $7 million as of December 31, 2020. Subsequent to the end of 2020, we fulfilled our outstanding commitment to purchase 44 completed vacation ownership units for $34 million. We accounted for this purchase as an asset acquisition with the purchase price allocated to Inventory ($29 million) and Other assets ($5 million).</w:t>
      </w:r>
    </w:p>
    <w:p>
      <w:pPr>
        <w:spacing w:after="0" w:line="74"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We have a commitment to purchase an operating property located in New York, New York, that we currently manage as Marriott Vacation Club Pulse, New York City. See Footnote 4 “Acquisitions and Dispositions” for information on the purchase that occurred during 2020. We are required to purchase the completed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December 31, 2020, our Balance Sheet reflected $22 million in Other assets for a deposit related to the acquisition of the remainder of this property which was completed in January 2021, and a note receivable of less than $1 million that is included in the Accounts receivable line. We believe that our maximum exposure to loss as a result of our involvement with this VIE is approximately $23 million as of December 31, 2020. Subsequent to the end of 2020, we fulfilled our outstanding commitment to purchase the remaining 120 completed vacation ownership units for $98 million. We accounted for this purchase as an asset acquisition with the purchase price allocated to Property and equipment.</w:t>
      </w:r>
    </w:p>
    <w:p>
      <w:pPr>
        <w:spacing w:after="0" w:line="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which we assigned to a third party during 2020. If we are unable to negotiate a capital efficient inventory arrangement, we are committed to purchase the property, in its then current form, for $98 million in 2021, unless it has been sold to another party. The property is held by a VIE for which we are not the primary beneficiary as we do not control the operations of the VIE. Accordingly, we have not consolidated the VIE. As of December 31, 2020, our Balance Sheet reflected $1 million in Accounts Receivable, including a note receivable of less than $1 million. We believe that our maximum exposure to loss as a result of our involvement with this VIE is approximately $1 million as of December 31, 2020.</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21. BUSINESS SEGMENTS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89" w:lineRule="exact"/>
        <w:rPr>
          <w:sz w:val="20"/>
          <w:szCs w:val="20"/>
          <w:color w:val="auto"/>
        </w:rPr>
      </w:pPr>
    </w:p>
    <w:p>
      <w:pPr>
        <w:ind w:left="980" w:right="80" w:hanging="324"/>
        <w:spacing w:after="0" w:line="291"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100" w:hanging="324"/>
        <w:spacing w:after="0" w:line="279"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property owners’ associations, as our CODM does not use this information to make operating segment resource allocations. Prior year segment information has been reclassified to conform to the current reportable segment presentation.</w:t>
      </w:r>
    </w:p>
    <w:p>
      <w:pPr>
        <w:spacing w:after="0" w:line="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(loss) income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0" w:type="dxa"/>
            <w:vAlign w:val="bottom"/>
          </w:tcPr>
          <w:p>
            <w:pPr>
              <w:spacing w:after="0"/>
              <w:rPr>
                <w:sz w:val="19"/>
                <w:szCs w:val="19"/>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109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i w:val="1"/>
          <w:iCs w:val="1"/>
          <w:color w:val="auto"/>
        </w:rPr>
        <w:t>Adjusted EBITDA and Reconciliation to Net Income Attributable to Common Shareholders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Vacation Ownership</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Exchange &amp; Third-Party</w:t>
            </w:r>
          </w:p>
        </w:tc>
        <w:tc>
          <w:tcPr>
            <w:tcW w:w="4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840" w:type="dxa"/>
            <w:vAlign w:val="bottom"/>
          </w:tcPr>
          <w:p>
            <w:pPr>
              <w:ind w:left="220"/>
              <w:spacing w:after="0"/>
              <w:rPr>
                <w:sz w:val="20"/>
                <w:szCs w:val="20"/>
                <w:color w:val="auto"/>
              </w:rPr>
            </w:pPr>
            <w:r>
              <w:rPr>
                <w:rFonts w:ascii="Arial" w:cs="Arial" w:eastAsia="Arial" w:hAnsi="Arial"/>
                <w:sz w:val="18"/>
                <w:szCs w:val="18"/>
                <w:color w:val="auto"/>
              </w:rPr>
              <w:t>Tax benefit (provision)</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38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items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w w:val="97"/>
              </w:rPr>
              <w:t>Net income attributable to common shareholders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depreciation</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ind w:left="60"/>
              <w:spacing w:after="0"/>
              <w:rPr>
                <w:sz w:val="20"/>
                <w:szCs w:val="20"/>
                <w:color w:val="auto"/>
              </w:rPr>
            </w:pPr>
            <w:r>
              <w:rPr>
                <w:rFonts w:ascii="Arial" w:cs="Arial" w:eastAsia="Arial" w:hAnsi="Arial"/>
                <w:sz w:val="16"/>
                <w:szCs w:val="16"/>
                <w:b w:val="1"/>
                <w:bCs w:val="1"/>
                <w:color w:val="auto"/>
              </w:rPr>
              <w:t>At December 31, 2020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capital expenditures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10 percent, 11 percent, and 13 percent of our revenues, excluding cost reimbursements, for 2020, 2019, and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(excluding cost reimbursements)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2018</w:t>
            </w:r>
          </w:p>
        </w:tc>
      </w:tr>
      <w:tr>
        <w:trPr>
          <w:trHeight w:val="22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Fixed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At December 31, 2020</w:t>
            </w:r>
          </w:p>
        </w:tc>
        <w:tc>
          <w:tcPr>
            <w:tcW w:w="120" w:type="dxa"/>
            <w:vAlign w:val="bottom"/>
          </w:tcPr>
          <w:p>
            <w:pPr>
              <w:spacing w:after="0"/>
              <w:rPr>
                <w:sz w:val="18"/>
                <w:szCs w:val="18"/>
                <w:color w:val="auto"/>
              </w:rPr>
            </w:pPr>
          </w:p>
        </w:tc>
        <w:tc>
          <w:tcPr>
            <w:tcW w:w="1640" w:type="dxa"/>
            <w:vAlign w:val="bottom"/>
          </w:tcPr>
          <w:p>
            <w:pPr>
              <w:jc w:val="right"/>
              <w:ind w:right="32"/>
              <w:spacing w:after="0"/>
              <w:rPr>
                <w:sz w:val="20"/>
                <w:szCs w:val="20"/>
                <w:color w:val="auto"/>
              </w:rPr>
            </w:pPr>
            <w:r>
              <w:rPr>
                <w:rFonts w:ascii="Arial" w:cs="Arial" w:eastAsia="Arial" w:hAnsi="Arial"/>
                <w:sz w:val="16"/>
                <w:szCs w:val="16"/>
                <w:b w:val="1"/>
                <w:bCs w:val="1"/>
                <w:color w:val="auto"/>
                <w:w w:val="90"/>
              </w:rPr>
              <w:t>At December 31, 2019</w:t>
            </w:r>
          </w:p>
        </w:tc>
      </w:tr>
      <w:tr>
        <w:trPr>
          <w:trHeight w:val="25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r>
      <w:tr>
        <w:trPr>
          <w:trHeight w:val="27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RESULTS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94"/>
              </w:rPr>
              <w:t>2020</w:t>
            </w:r>
            <w:r>
              <w:rPr>
                <w:rFonts w:ascii="Arial" w:cs="Arial" w:eastAsia="Arial" w:hAnsi="Arial"/>
                <w:sz w:val="9"/>
                <w:szCs w:val="9"/>
                <w:b w:val="1"/>
                <w:bCs w:val="1"/>
                <w:color w:val="auto"/>
                <w:w w:val="94"/>
              </w:rPr>
              <w:t>(1)</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6"/>
                <w:szCs w:val="16"/>
                <w:b w:val="1"/>
                <w:bCs w:val="1"/>
                <w:color w:val="auto"/>
              </w:rPr>
              <w:t>First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20"/>
              <w:spacing w:after="0" w:line="158" w:lineRule="exact"/>
              <w:rPr>
                <w:sz w:val="20"/>
                <w:szCs w:val="20"/>
                <w:color w:val="auto"/>
              </w:rPr>
            </w:pPr>
            <w:r>
              <w:rPr>
                <w:rFonts w:ascii="Arial" w:cs="Arial" w:eastAsia="Arial" w:hAnsi="Arial"/>
                <w:sz w:val="16"/>
                <w:szCs w:val="16"/>
                <w:b w:val="1"/>
                <w:bCs w:val="1"/>
                <w:color w:val="auto"/>
              </w:rPr>
              <w:t>Second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rPr>
              <w:t>Third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20"/>
              <w:spacing w:after="0" w:line="158" w:lineRule="exact"/>
              <w:rPr>
                <w:sz w:val="20"/>
                <w:szCs w:val="20"/>
                <w:color w:val="auto"/>
              </w:rPr>
            </w:pPr>
            <w:r>
              <w:rPr>
                <w:rFonts w:ascii="Arial" w:cs="Arial" w:eastAsia="Arial" w:hAnsi="Arial"/>
                <w:sz w:val="16"/>
                <w:szCs w:val="16"/>
                <w:b w:val="1"/>
                <w:bCs w:val="1"/>
                <w:color w:val="auto"/>
              </w:rPr>
              <w:t>Fourth</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Fiscal</w:t>
            </w:r>
          </w:p>
        </w:tc>
      </w:tr>
      <w:tr>
        <w:trPr>
          <w:trHeight w:val="213"/>
        </w:trPr>
        <w:tc>
          <w:tcPr>
            <w:tcW w:w="8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Quarter</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Quarter</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Quarter</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Quarter</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Year</w:t>
            </w:r>
          </w:p>
        </w:tc>
      </w:tr>
      <w:tr>
        <w:trPr>
          <w:trHeight w:val="226"/>
        </w:trPr>
        <w:tc>
          <w:tcPr>
            <w:tcW w:w="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(2,984)</w:t>
            </w:r>
          </w:p>
        </w:tc>
      </w:tr>
      <w:tr>
        <w:trPr>
          <w:trHeight w:val="230"/>
        </w:trPr>
        <w:tc>
          <w:tcPr>
            <w:tcW w:w="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r>
        <w:trPr>
          <w:trHeight w:val="229"/>
        </w:trPr>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Loss per share attributable to common shareholders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r>
      <w:tr>
        <w:trPr>
          <w:trHeight w:val="230"/>
        </w:trPr>
        <w:tc>
          <w:tcPr>
            <w:tcW w:w="80" w:type="dxa"/>
            <w:vAlign w:val="bottom"/>
          </w:tcPr>
          <w:p>
            <w:pPr>
              <w:spacing w:after="0"/>
              <w:rPr>
                <w:sz w:val="20"/>
                <w:szCs w:val="20"/>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r>
      <w:tr>
        <w:trPr>
          <w:trHeight w:val="509"/>
        </w:trPr>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4"/>
              </w:rPr>
              <w:t>2019</w:t>
            </w:r>
            <w:r>
              <w:rPr>
                <w:rFonts w:ascii="Arial" w:cs="Arial" w:eastAsia="Arial" w:hAnsi="Arial"/>
                <w:sz w:val="9"/>
                <w:szCs w:val="9"/>
                <w:b w:val="1"/>
                <w:bCs w:val="1"/>
                <w:color w:val="auto"/>
                <w:w w:val="94"/>
              </w:rPr>
              <w:t>(1)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60"/>
              <w:spacing w:after="0" w:line="158" w:lineRule="exact"/>
              <w:rPr>
                <w:sz w:val="20"/>
                <w:szCs w:val="20"/>
                <w:color w:val="auto"/>
              </w:rPr>
            </w:pPr>
            <w:r>
              <w:rPr>
                <w:rFonts w:ascii="Arial" w:cs="Arial" w:eastAsia="Arial" w:hAnsi="Arial"/>
                <w:sz w:val="16"/>
                <w:szCs w:val="16"/>
                <w:b w:val="1"/>
                <w:bCs w:val="1"/>
                <w:color w:val="auto"/>
              </w:rPr>
              <w:t>First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6"/>
                <w:szCs w:val="16"/>
                <w:b w:val="1"/>
                <w:bCs w:val="1"/>
                <w:color w:val="auto"/>
                <w:w w:val="96"/>
              </w:rPr>
              <w:t>Second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Third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6"/>
                <w:szCs w:val="16"/>
                <w:b w:val="1"/>
                <w:bCs w:val="1"/>
                <w:color w:val="auto"/>
              </w:rPr>
              <w:t>Fourth</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93"/>
              <w:spacing w:after="0" w:line="158" w:lineRule="exact"/>
              <w:rPr>
                <w:sz w:val="20"/>
                <w:szCs w:val="20"/>
                <w:color w:val="auto"/>
              </w:rPr>
            </w:pPr>
            <w:r>
              <w:rPr>
                <w:rFonts w:ascii="Arial" w:cs="Arial" w:eastAsia="Arial" w:hAnsi="Arial"/>
                <w:sz w:val="16"/>
                <w:szCs w:val="16"/>
                <w:b w:val="1"/>
                <w:bCs w:val="1"/>
                <w:color w:val="auto"/>
              </w:rPr>
              <w:t>Fiscal</w:t>
            </w:r>
          </w:p>
        </w:tc>
        <w:tc>
          <w:tcPr>
            <w:tcW w:w="40" w:type="dxa"/>
            <w:vAlign w:val="bottom"/>
          </w:tcPr>
          <w:p>
            <w:pPr>
              <w:spacing w:after="0"/>
              <w:rPr>
                <w:sz w:val="13"/>
                <w:szCs w:val="13"/>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Quarter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r>
      <w:tr>
        <w:trPr>
          <w:trHeight w:val="226"/>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40" w:type="dxa"/>
            <w:vAlign w:val="bottom"/>
          </w:tcPr>
          <w:p>
            <w:pPr>
              <w:spacing w:after="0"/>
              <w:rPr>
                <w:sz w:val="19"/>
                <w:szCs w:val="19"/>
                <w:color w:val="auto"/>
              </w:rPr>
            </w:pP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19"/>
                <w:szCs w:val="19"/>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(3,801)</w:t>
            </w:r>
          </w:p>
        </w:tc>
        <w:tc>
          <w:tcPr>
            <w:tcW w:w="40" w:type="dxa"/>
            <w:vAlign w:val="bottom"/>
          </w:tcPr>
          <w:p>
            <w:pPr>
              <w:spacing w:after="0"/>
              <w:rPr>
                <w:sz w:val="19"/>
                <w:szCs w:val="19"/>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r>
      <w:tr>
        <w:trPr>
          <w:trHeight w:val="230"/>
        </w:trPr>
        <w:tc>
          <w:tcPr>
            <w:tcW w:w="5020" w:type="dxa"/>
            <w:vAlign w:val="bottom"/>
            <w:gridSpan w:val="2"/>
          </w:tcPr>
          <w:p>
            <w:pPr>
              <w:ind w:left="20"/>
              <w:spacing w:after="0"/>
              <w:rPr>
                <w:sz w:val="20"/>
                <w:szCs w:val="20"/>
                <w:color w:val="auto"/>
              </w:rPr>
            </w:pPr>
            <w:r>
              <w:rPr>
                <w:rFonts w:ascii="Arial" w:cs="Arial" w:eastAsia="Arial" w:hAnsi="Arial"/>
                <w:sz w:val="18"/>
                <w:szCs w:val="18"/>
                <w:color w:val="auto"/>
                <w:w w:val="99"/>
              </w:rPr>
              <w:t>Earnings (loss) per share attributable to common shareholders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0" w:type="dxa"/>
            <w:vAlign w:val="bottom"/>
            <w:shd w:val="clear" w:color="auto" w:fill="CCEEFF"/>
          </w:tcPr>
          <w:p>
            <w:pPr>
              <w:spacing w:after="0"/>
              <w:rPr>
                <w:sz w:val="19"/>
                <w:szCs w:val="19"/>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0"/>
                <w:szCs w:val="20"/>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660" w:right="100" w:hanging="652"/>
        <w:spacing w:after="0" w:line="238" w:lineRule="auto"/>
        <w:tabs>
          <w:tab w:leader="none" w:pos="648"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The sum of the earnings per share attributable to common shareholders for the four quarters differs from annual earnings per share attributable to common shareholders due to the required method of computing the weighted average shares in interim periods.</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23.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Welk Resorts</w:t>
      </w:r>
    </w:p>
    <w:p>
      <w:pPr>
        <w:spacing w:after="0" w:line="117"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On January 26, 2021, subsequent to the end of 2020, we entered into a definitive agreement to acquire Welk Resorts, one of the largest independent timeshare companies in North America, for approximately $430 million, including approximately 1.4 million shares of our common stock. The acquisition is expected to close early in the second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Convertible Notes</w:t>
      </w:r>
    </w:p>
    <w:p>
      <w:pPr>
        <w:spacing w:after="0" w:line="117"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During the first quarter of 2021, we issued $575 million aggregate principal amount of 0.00% Convertible Senior Notes due 2026 (the “2026 Convertible Notes”). The 2026 Convertible Notes will not bear regular interest and will mature on January 15, 2026, unless earlier repurchased or converted.</w:t>
      </w:r>
    </w:p>
    <w:p>
      <w:pPr>
        <w:spacing w:after="0" w:line="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or after October 15, 2025, and prior to the close of business on the second scheduled trading day immediately preceding the stated maturity date of the 2026 Convertible Notes, holders may convert their 2026 Convertible Notes at their option. The 2026 Convertible Notes are convertible at an initial rate of 5.8476 shares of common stock per $1,000 principal amount of 2026 Convertible Notes (equivalent to an initial conversion price of $171.01 per share of our common stock). The conversion rate is subject to adjustment for certain events as described in the Indenture. Upon conversion, we will pay or deliver, as the case may be, cash, shares of our common stock, or a combination of cash and shares of our common stock, at our election. It is our intent to settle conversions of the 2026 Convertible Notes through combination settlement, which contemplates repayment in cash of the principal amount and repayment in shares of our common stock of any excess of the conversion value over the principal amount.</w:t>
      </w:r>
    </w:p>
    <w:p>
      <w:pPr>
        <w:spacing w:after="0" w:line="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offering of the 2026 Convertible Notes, we entered into privately-negotiated convertible note hedge transactions with respect to our common stock with certain counterparties (the “2026 Convertible Note Hedges”), covering a total of 3.4 million shares of our common stock at a cost of approximately $100 million. Concurrently with the entry into the 2026 Convertible Note Hedges, we separately entered into privately-negotiated warrant transactions (the “2026 Warrants”), whereby we sold to the counterparties to the 2026 Convertible Note Hedges warrants to acquire, collectively, subject to anti-dilution adjustments, approximately 3.4 million shares of our common stock at an initial strike price of $213.76 per share. We received aggregate proceeds of approximately $70 million from the sale of the 2026 Warrants to the counterparties. Taken together, the 2026 Convertible Note Hedges and the 2026 Warrants are generally expected to reduce the potential dilution to our common stock (or, in the event the conversion of the 2026 Convertible Notes is settled in cash, to reduce our cash payment obligation) in the event that at the time of conversion our stock price exceeds the conversion price under the 2026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2" w:name="page133"/>
    <w:bookmarkEnd w:id="132"/>
    <w:p>
      <w:pPr>
        <w:ind w:left="20"/>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2020,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made no changes in our internal control over financial reporting during the fourth quarter of 2020 that have materially affected, or are reasonably likely to materially affect, our internal control over financial reporting, other than changes in control over financial reporting to integrate the business we acquired in the ILG Acquisition; such changes included the replacement of our U.S. payroll service provider with new functionality provided by our enterprise-wide human resources information system.</w:t>
      </w:r>
    </w:p>
    <w:p>
      <w:pPr>
        <w:spacing w:after="0" w:line="21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described below, we incorporate by reference in this Annual Report certain information appearing in the Proxy Statement that we will furnish to our shareholders for our 2021 Annual Meeting of Shareholders (the “Proxy Statement”).</w:t>
      </w:r>
    </w:p>
    <w:p>
      <w:pPr>
        <w:spacing w:after="0" w:line="19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Our Proxy Statement will be filed with the SEC in connection with our 2021 Annual Meeting of Shareholders.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in our Proxy Statement.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Board of Directors has adopted a code of conduct, our Business Conduct Guide, that applies to all of our directors, officers, and associates, including our Chief Executive Officer, Principal Financial Officer, and Chief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marriottvacationsworldwide.com within four business days following the date of the amendment or waiver or on a Current Report on Form 8-K.</w:t>
      </w:r>
    </w:p>
    <w:p>
      <w:pPr>
        <w:spacing w:after="0" w:line="26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8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“Stock Ownership” sections of our Proxy Statement.</w:t>
      </w:r>
    </w:p>
    <w:p>
      <w:pPr>
        <w:spacing w:after="0" w:line="19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19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part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include this portion of Item 15 under Part II, Item 8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shareholder who wants a copy of any of the following Exhibits may obtain one from us, without charge, upon written request. Written requests to obtain any exhibit should be sent to Marriott Vacations Worldwide Corporation, 6649 Westwood Blvd., Orlando, Florida 32821, Attention: Corporate Secretary. All documents referenced below are being filed as a part of this Annual Report, unless otherwise noted.</w:t>
      </w:r>
    </w:p>
    <w:p>
      <w:pPr>
        <w:sectPr>
          <w:pgSz w:w="11900" w:h="16838" w:orient="portrait"/>
          <w:cols w:equalWidth="0" w:num="1">
            <w:col w:w="11220"/>
          </w:cols>
          <w:pgMar w:left="320" w:top="1003" w:right="359" w:bottom="1440" w:gutter="0" w:footer="0" w:header="0"/>
        </w:sect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Exhibit</w:t>
      </w:r>
    </w:p>
    <w:p>
      <w:pPr>
        <w:ind w:left="22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6"/>
              </w:rPr>
              <w:t>Filed</w:t>
            </w:r>
          </w:p>
        </w:tc>
        <w:tc>
          <w:tcPr>
            <w:tcW w:w="30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r>
      <w:tr>
        <w:trPr>
          <w:trHeight w:val="204"/>
        </w:trPr>
        <w:tc>
          <w:tcPr>
            <w:tcW w:w="220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4"/>
              </w:rPr>
              <w:t>Herewith</w:t>
            </w:r>
          </w:p>
        </w:tc>
        <w:tc>
          <w:tcPr>
            <w:tcW w:w="820" w:type="dxa"/>
            <w:vAlign w:val="bottom"/>
          </w:tcPr>
          <w:p>
            <w:pPr>
              <w:ind w:left="180"/>
              <w:spacing w:after="0"/>
              <w:rPr>
                <w:sz w:val="20"/>
                <w:szCs w:val="20"/>
                <w:color w:val="auto"/>
              </w:rPr>
            </w:pPr>
            <w:r>
              <w:rPr>
                <w:rFonts w:ascii="Arial" w:cs="Arial" w:eastAsia="Arial" w:hAnsi="Arial"/>
                <w:sz w:val="16"/>
                <w:szCs w:val="16"/>
                <w:b w:val="1"/>
                <w:bCs w:val="1"/>
                <w:color w:val="auto"/>
              </w:rPr>
              <w:t>Form</w:t>
            </w: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3810</wp:posOffset>
            </wp:positionV>
            <wp:extent cx="7098030" cy="4889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8030" cy="48895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2920" w:space="720"/>
            <w:col w:w="7580"/>
          </w:cols>
          <w:pgMar w:left="320" w:top="1003" w:right="359" w:bottom="1440" w:gutter="0" w:footer="0" w:header="0"/>
          <w:type w:val="continuous"/>
        </w:sectPr>
      </w:pPr>
    </w:p>
    <w:p>
      <w:pPr>
        <w:spacing w:after="0" w:line="257" w:lineRule="exact"/>
        <w:rPr>
          <w:sz w:val="20"/>
          <w:szCs w:val="20"/>
          <w:color w:val="auto"/>
        </w:rPr>
      </w:pPr>
    </w:p>
    <w:p>
      <w:pPr>
        <w:ind w:left="400"/>
        <w:spacing w:after="0"/>
        <w:rPr>
          <w:rFonts w:ascii="Arial" w:cs="Arial" w:eastAsia="Arial" w:hAnsi="Arial"/>
          <w:sz w:val="15"/>
          <w:szCs w:val="15"/>
          <w:u w:val="single" w:color="auto"/>
          <w:color w:val="0000FF"/>
        </w:rPr>
      </w:pPr>
      <w:hyperlink r:id="rId175">
        <w:r>
          <w:rPr>
            <w:rFonts w:ascii="Arial" w:cs="Arial" w:eastAsia="Arial" w:hAnsi="Arial"/>
            <w:sz w:val="15"/>
            <w:szCs w:val="15"/>
            <w:u w:val="single" w:color="auto"/>
            <w:color w:val="0000FF"/>
          </w:rPr>
          <w:t>2.1</w:t>
        </w:r>
      </w:hyperlink>
    </w:p>
    <w:p>
      <w:pPr>
        <w:spacing w:after="0" w:line="200" w:lineRule="exact"/>
        <w:rPr>
          <w:sz w:val="20"/>
          <w:szCs w:val="20"/>
          <w:color w:val="auto"/>
        </w:rPr>
      </w:pPr>
    </w:p>
    <w:p>
      <w:pPr>
        <w:spacing w:after="0" w:line="303" w:lineRule="exact"/>
        <w:rPr>
          <w:sz w:val="20"/>
          <w:szCs w:val="20"/>
          <w:color w:val="auto"/>
        </w:rPr>
      </w:pPr>
    </w:p>
    <w:p>
      <w:pPr>
        <w:ind w:left="400"/>
        <w:spacing w:after="0"/>
        <w:rPr>
          <w:rFonts w:ascii="Arial" w:cs="Arial" w:eastAsia="Arial" w:hAnsi="Arial"/>
          <w:sz w:val="15"/>
          <w:szCs w:val="15"/>
          <w:u w:val="single" w:color="auto"/>
          <w:color w:val="0000FF"/>
        </w:rPr>
      </w:pPr>
      <w:hyperlink r:id="rId176">
        <w:r>
          <w:rPr>
            <w:rFonts w:ascii="Arial" w:cs="Arial" w:eastAsia="Arial" w:hAnsi="Arial"/>
            <w:sz w:val="15"/>
            <w:szCs w:val="15"/>
            <w:u w:val="single" w:color="auto"/>
            <w:color w:val="0000FF"/>
          </w:rPr>
          <w:t>2.2</w:t>
        </w:r>
      </w:hyperlink>
    </w:p>
    <w:p>
      <w:pPr>
        <w:spacing w:after="0" w:line="200" w:lineRule="exact"/>
        <w:rPr>
          <w:sz w:val="20"/>
          <w:szCs w:val="20"/>
          <w:color w:val="auto"/>
        </w:rPr>
      </w:pPr>
    </w:p>
    <w:p>
      <w:pPr>
        <w:spacing w:after="0" w:line="289" w:lineRule="exact"/>
        <w:rPr>
          <w:sz w:val="20"/>
          <w:szCs w:val="20"/>
          <w:color w:val="auto"/>
        </w:rPr>
      </w:pPr>
    </w:p>
    <w:p>
      <w:pPr>
        <w:ind w:left="400"/>
        <w:spacing w:after="0"/>
        <w:rPr>
          <w:rFonts w:ascii="Arial" w:cs="Arial" w:eastAsia="Arial" w:hAnsi="Arial"/>
          <w:sz w:val="15"/>
          <w:szCs w:val="15"/>
          <w:u w:val="single" w:color="auto"/>
          <w:color w:val="0000FF"/>
        </w:rPr>
      </w:pPr>
      <w:hyperlink r:id="rId177">
        <w:r>
          <w:rPr>
            <w:rFonts w:ascii="Arial" w:cs="Arial" w:eastAsia="Arial" w:hAnsi="Arial"/>
            <w:sz w:val="15"/>
            <w:szCs w:val="15"/>
            <w:u w:val="single" w:color="auto"/>
            <w:color w:val="0000FF"/>
          </w:rPr>
          <w:t>2.3</w:t>
        </w:r>
      </w:hyperlink>
    </w:p>
    <w:p>
      <w:pPr>
        <w:spacing w:after="0" w:line="200" w:lineRule="exact"/>
        <w:rPr>
          <w:sz w:val="20"/>
          <w:szCs w:val="20"/>
          <w:color w:val="auto"/>
        </w:rPr>
      </w:pPr>
    </w:p>
    <w:p>
      <w:pPr>
        <w:spacing w:after="0" w:line="208" w:lineRule="exact"/>
        <w:rPr>
          <w:sz w:val="20"/>
          <w:szCs w:val="20"/>
          <w:color w:val="auto"/>
        </w:rPr>
      </w:pPr>
    </w:p>
    <w:p>
      <w:pPr>
        <w:ind w:left="400"/>
        <w:spacing w:after="0"/>
        <w:rPr>
          <w:rFonts w:ascii="Arial" w:cs="Arial" w:eastAsia="Arial" w:hAnsi="Arial"/>
          <w:sz w:val="15"/>
          <w:szCs w:val="15"/>
          <w:u w:val="single" w:color="auto"/>
          <w:color w:val="0000FF"/>
        </w:rPr>
      </w:pPr>
      <w:hyperlink r:id="rId178">
        <w:r>
          <w:rPr>
            <w:rFonts w:ascii="Arial" w:cs="Arial" w:eastAsia="Arial" w:hAnsi="Arial"/>
            <w:sz w:val="15"/>
            <w:szCs w:val="15"/>
            <w:u w:val="single" w:color="auto"/>
            <w:color w:val="0000FF"/>
          </w:rPr>
          <w:t>3.1</w:t>
        </w:r>
      </w:hyperlink>
    </w:p>
    <w:p>
      <w:pPr>
        <w:spacing w:after="0" w:line="152" w:lineRule="exact"/>
        <w:rPr>
          <w:sz w:val="20"/>
          <w:szCs w:val="20"/>
          <w:color w:val="auto"/>
        </w:rPr>
      </w:pPr>
    </w:p>
    <w:p>
      <w:pPr>
        <w:ind w:left="400"/>
        <w:spacing w:after="0"/>
        <w:rPr>
          <w:rFonts w:ascii="Arial" w:cs="Arial" w:eastAsia="Arial" w:hAnsi="Arial"/>
          <w:sz w:val="15"/>
          <w:szCs w:val="15"/>
          <w:u w:val="single" w:color="auto"/>
          <w:color w:val="0000FF"/>
        </w:rPr>
      </w:pPr>
      <w:hyperlink r:id="rId179">
        <w:r>
          <w:rPr>
            <w:rFonts w:ascii="Arial" w:cs="Arial" w:eastAsia="Arial" w:hAnsi="Arial"/>
            <w:sz w:val="15"/>
            <w:szCs w:val="15"/>
            <w:u w:val="single" w:color="auto"/>
            <w:color w:val="0000FF"/>
          </w:rPr>
          <w:t>3.2</w:t>
        </w:r>
      </w:hyperlink>
    </w:p>
    <w:p>
      <w:pPr>
        <w:spacing w:after="0" w:line="138" w:lineRule="exact"/>
        <w:rPr>
          <w:sz w:val="20"/>
          <w:szCs w:val="20"/>
          <w:color w:val="auto"/>
        </w:rPr>
      </w:pPr>
    </w:p>
    <w:p>
      <w:pPr>
        <w:ind w:left="400"/>
        <w:spacing w:after="0"/>
        <w:rPr>
          <w:rFonts w:ascii="Arial" w:cs="Arial" w:eastAsia="Arial" w:hAnsi="Arial"/>
          <w:sz w:val="15"/>
          <w:szCs w:val="15"/>
          <w:u w:val="single" w:color="auto"/>
          <w:color w:val="0000FF"/>
        </w:rPr>
      </w:pPr>
      <w:hyperlink r:id="rId180">
        <w:r>
          <w:rPr>
            <w:rFonts w:ascii="Arial" w:cs="Arial" w:eastAsia="Arial" w:hAnsi="Arial"/>
            <w:sz w:val="15"/>
            <w:szCs w:val="15"/>
            <w:u w:val="single" w:color="auto"/>
            <w:color w:val="0000FF"/>
          </w:rPr>
          <w:t>4.1</w:t>
        </w:r>
      </w:hyperlink>
    </w:p>
    <w:p>
      <w:pPr>
        <w:spacing w:after="0" w:line="20" w:lineRule="exact"/>
        <w:rPr>
          <w:sz w:val="20"/>
          <w:szCs w:val="20"/>
          <w:color w:val="auto"/>
        </w:rPr>
      </w:pPr>
      <w:r>
        <w:rPr>
          <w:sz w:val="20"/>
          <w:szCs w:val="20"/>
          <w:color w:val="auto"/>
        </w:rPr>
        <w:br w:type="column"/>
      </w:r>
    </w:p>
    <w:p>
      <w:pPr>
        <w:ind w:right="840"/>
        <w:spacing w:after="0" w:line="232" w:lineRule="auto"/>
        <w:rPr>
          <w:sz w:val="20"/>
          <w:szCs w:val="20"/>
          <w:color w:val="auto"/>
        </w:rPr>
      </w:pPr>
      <w:r>
        <w:rPr>
          <w:rFonts w:ascii="Arial" w:cs="Arial" w:eastAsia="Arial" w:hAnsi="Arial"/>
          <w:sz w:val="17"/>
          <w:szCs w:val="17"/>
          <w:color w:val="auto"/>
        </w:rPr>
        <w:t>Separation and Distribution Agreement, entered into on November 17, 2011, among Marriott International, Inc., Marriott Vacations Worldwide Corporation, Marriott Ownership Resorts, Inc., Marriott Resorts Hospitality Corporation, MVCI Asia Pacific Pte. Ltd. and MVCO Series LLC</w:t>
      </w:r>
    </w:p>
    <w:p>
      <w:pPr>
        <w:spacing w:after="0" w:line="1" w:lineRule="exact"/>
        <w:rPr>
          <w:sz w:val="20"/>
          <w:szCs w:val="20"/>
          <w:color w:val="auto"/>
        </w:rPr>
      </w:pPr>
    </w:p>
    <w:p>
      <w:pPr>
        <w:ind w:right="720"/>
        <w:spacing w:after="0" w:line="224" w:lineRule="auto"/>
        <w:rPr>
          <w:sz w:val="20"/>
          <w:szCs w:val="20"/>
          <w:color w:val="auto"/>
        </w:rPr>
      </w:pPr>
      <w:r>
        <w:rPr>
          <w:rFonts w:ascii="Arial" w:cs="Arial" w:eastAsia="Arial" w:hAnsi="Arial"/>
          <w:sz w:val="18"/>
          <w:szCs w:val="18"/>
          <w:color w:val="auto"/>
        </w:rPr>
        <w:t>Agreement and Plan of Merger, dated as of April 30, 2018, by and among Marriott Vacations Worldwide Corporation, ILG, Inc., Ignite Holdco, Inc., Ignite Holdco Subsidiary, Inc., Volt Merger Sub LLC</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800"/>
        <w:spacing w:after="0" w:line="219" w:lineRule="auto"/>
        <w:rPr>
          <w:sz w:val="20"/>
          <w:szCs w:val="20"/>
          <w:color w:val="auto"/>
        </w:rPr>
      </w:pPr>
      <w:r>
        <w:rPr>
          <w:rFonts w:ascii="Arial" w:cs="Arial" w:eastAsia="Arial" w:hAnsi="Arial"/>
          <w:sz w:val="18"/>
          <w:szCs w:val="18"/>
          <w:color w:val="auto"/>
        </w:rPr>
        <w:t>Agreement and Plan of Merger by and among Marriott Vacations Worldwide Corporation, Sommelier Acquisition Corp., Champagne Resorts, Inc., Welk Hospitality Group, Inc. and the Shareholder Representative, dated as of January 26, 2021</w:t>
      </w:r>
    </w:p>
    <w:p>
      <w:pPr>
        <w:spacing w:after="0" w:line="1" w:lineRule="exact"/>
        <w:rPr>
          <w:sz w:val="20"/>
          <w:szCs w:val="20"/>
          <w:color w:val="auto"/>
        </w:rPr>
      </w:pPr>
    </w:p>
    <w:p>
      <w:pPr>
        <w:ind w:right="1460"/>
        <w:spacing w:after="0" w:line="234"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23" w:lineRule="exact"/>
        <w:rPr>
          <w:sz w:val="20"/>
          <w:szCs w:val="20"/>
          <w:color w:val="auto"/>
        </w:rPr>
      </w:pPr>
    </w:p>
    <w:p>
      <w:pPr>
        <w:ind w:right="980"/>
        <w:spacing w:after="0" w:line="234"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11/22/2011</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 w:leader="none" w:pos="19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5/1/2018</w:t>
      </w:r>
    </w:p>
    <w:p>
      <w:pPr>
        <w:spacing w:after="0" w:line="200" w:lineRule="exact"/>
        <w:rPr>
          <w:sz w:val="20"/>
          <w:szCs w:val="20"/>
          <w:color w:val="auto"/>
        </w:rPr>
      </w:pPr>
    </w:p>
    <w:p>
      <w:pPr>
        <w:spacing w:after="0" w:line="255" w:lineRule="exact"/>
        <w:rPr>
          <w:sz w:val="20"/>
          <w:szCs w:val="20"/>
          <w:color w:val="auto"/>
        </w:rPr>
      </w:pPr>
    </w:p>
    <w:p>
      <w:pPr>
        <w:spacing w:after="0"/>
        <w:tabs>
          <w:tab w:leader="none" w:pos="96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1/26/2021</w:t>
      </w:r>
    </w:p>
    <w:p>
      <w:pPr>
        <w:spacing w:after="0" w:line="374"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11/22/2011</w:t>
      </w:r>
    </w:p>
    <w:p>
      <w:pPr>
        <w:spacing w:after="0" w:line="117"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11/22/2011</w:t>
      </w:r>
    </w:p>
    <w:p>
      <w:pPr>
        <w:spacing w:after="0" w:line="104" w:lineRule="exact"/>
        <w:rPr>
          <w:sz w:val="20"/>
          <w:szCs w:val="20"/>
          <w:color w:val="auto"/>
        </w:rPr>
      </w:pPr>
    </w:p>
    <w:p>
      <w:pPr>
        <w:ind w:left="60"/>
        <w:spacing w:after="0"/>
        <w:tabs>
          <w:tab w:leader="none" w:pos="960" w:val="left"/>
          <w:tab w:leader="none" w:pos="1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10/14/2011</w:t>
      </w:r>
    </w:p>
    <w:p>
      <w:pPr>
        <w:spacing w:after="0" w:line="316" w:lineRule="exact"/>
        <w:rPr>
          <w:sz w:val="20"/>
          <w:szCs w:val="20"/>
          <w:color w:val="auto"/>
        </w:rPr>
      </w:pPr>
    </w:p>
    <w:p>
      <w:pPr>
        <w:sectPr>
          <w:pgSz w:w="11900" w:h="16838" w:orient="portrait"/>
          <w:cols w:equalWidth="0" w:num="3">
            <w:col w:w="620" w:space="480"/>
            <w:col w:w="6540" w:space="720"/>
            <w:col w:w="2860"/>
          </w:cols>
          <w:pgMar w:left="320" w:top="1003" w:right="3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134" w:name="page135"/>
    <w:bookmarkEnd w:id="134"/>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5"/>
          <w:szCs w:val="15"/>
          <w:b w:val="1"/>
          <w:bCs w:val="1"/>
          <w:color w:val="auto"/>
        </w:rPr>
        <w:t>Number</w:t>
      </w:r>
    </w:p>
    <w:p>
      <w:pPr>
        <w:spacing w:after="0" w:line="120" w:lineRule="exact"/>
        <w:rPr>
          <w:sz w:val="20"/>
          <w:szCs w:val="20"/>
          <w:color w:val="auto"/>
        </w:rPr>
      </w:pPr>
    </w:p>
    <w:p>
      <w:pPr>
        <w:ind w:left="18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4.2</w:t>
        </w:r>
      </w:hyperlink>
    </w:p>
    <w:p>
      <w:pPr>
        <w:spacing w:after="0" w:line="198" w:lineRule="exact"/>
        <w:rPr>
          <w:sz w:val="20"/>
          <w:szCs w:val="20"/>
          <w:color w:val="auto"/>
        </w:rPr>
      </w:pPr>
    </w:p>
    <w:p>
      <w:pPr>
        <w:ind w:left="18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28" w:lineRule="exact"/>
        <w:rPr>
          <w:sz w:val="20"/>
          <w:szCs w:val="20"/>
          <w:color w:val="auto"/>
        </w:rPr>
      </w:pPr>
    </w:p>
    <w:p>
      <w:pPr>
        <w:ind w:left="18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376" w:lineRule="exact"/>
        <w:rPr>
          <w:sz w:val="20"/>
          <w:szCs w:val="20"/>
          <w:color w:val="auto"/>
        </w:rPr>
      </w:pPr>
    </w:p>
    <w:p>
      <w:pPr>
        <w:ind w:left="18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28" w:lineRule="exact"/>
        <w:rPr>
          <w:sz w:val="20"/>
          <w:szCs w:val="20"/>
          <w:color w:val="auto"/>
        </w:rPr>
      </w:pPr>
    </w:p>
    <w:p>
      <w:pPr>
        <w:ind w:left="18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4.6</w:t>
        </w:r>
      </w:hyperlink>
    </w:p>
    <w:p>
      <w:pPr>
        <w:spacing w:after="0" w:line="374" w:lineRule="exact"/>
        <w:rPr>
          <w:sz w:val="20"/>
          <w:szCs w:val="20"/>
          <w:color w:val="auto"/>
        </w:rPr>
      </w:pPr>
    </w:p>
    <w:p>
      <w:pPr>
        <w:ind w:left="18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4.7</w:t>
        </w:r>
      </w:hyperlink>
    </w:p>
    <w:p>
      <w:pPr>
        <w:spacing w:after="0" w:line="279" w:lineRule="exact"/>
        <w:rPr>
          <w:sz w:val="20"/>
          <w:szCs w:val="20"/>
          <w:color w:val="auto"/>
        </w:rPr>
      </w:pPr>
    </w:p>
    <w:p>
      <w:pPr>
        <w:ind w:left="180"/>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4.8</w:t>
        </w:r>
      </w:hyperlink>
    </w:p>
    <w:p>
      <w:pPr>
        <w:spacing w:after="0" w:line="374" w:lineRule="exact"/>
        <w:rPr>
          <w:sz w:val="20"/>
          <w:szCs w:val="20"/>
          <w:color w:val="auto"/>
        </w:rPr>
      </w:pPr>
    </w:p>
    <w:p>
      <w:pPr>
        <w:ind w:left="18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4.9</w:t>
        </w:r>
      </w:hyperlink>
    </w:p>
    <w:p>
      <w:pPr>
        <w:spacing w:after="0" w:line="200" w:lineRule="exact"/>
        <w:rPr>
          <w:sz w:val="20"/>
          <w:szCs w:val="20"/>
          <w:color w:val="auto"/>
        </w:rPr>
      </w:pPr>
    </w:p>
    <w:p>
      <w:pPr>
        <w:spacing w:after="0" w:line="349" w:lineRule="exact"/>
        <w:rPr>
          <w:sz w:val="20"/>
          <w:szCs w:val="20"/>
          <w:color w:val="auto"/>
        </w:rPr>
      </w:pPr>
    </w:p>
    <w:p>
      <w:pPr>
        <w:ind w:left="14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4.10</w:t>
        </w:r>
      </w:hyperlink>
    </w:p>
    <w:p>
      <w:pPr>
        <w:spacing w:after="0" w:line="200" w:lineRule="exact"/>
        <w:rPr>
          <w:sz w:val="20"/>
          <w:szCs w:val="20"/>
          <w:color w:val="auto"/>
        </w:rPr>
      </w:pPr>
    </w:p>
    <w:p>
      <w:pPr>
        <w:spacing w:after="0" w:line="349" w:lineRule="exact"/>
        <w:rPr>
          <w:sz w:val="20"/>
          <w:szCs w:val="20"/>
          <w:color w:val="auto"/>
        </w:rPr>
      </w:pPr>
    </w:p>
    <w:p>
      <w:pPr>
        <w:ind w:left="14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4.11</w:t>
        </w:r>
      </w:hyperlink>
    </w:p>
    <w:p>
      <w:pPr>
        <w:spacing w:after="0" w:line="200" w:lineRule="exact"/>
        <w:rPr>
          <w:sz w:val="20"/>
          <w:szCs w:val="20"/>
          <w:color w:val="auto"/>
        </w:rPr>
      </w:pPr>
    </w:p>
    <w:p>
      <w:pPr>
        <w:spacing w:after="0" w:line="268" w:lineRule="exact"/>
        <w:rPr>
          <w:sz w:val="20"/>
          <w:szCs w:val="20"/>
          <w:color w:val="auto"/>
        </w:rPr>
      </w:pPr>
    </w:p>
    <w:p>
      <w:pPr>
        <w:ind w:left="140"/>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4.12</w:t>
        </w:r>
      </w:hyperlink>
    </w:p>
    <w:p>
      <w:pPr>
        <w:spacing w:after="0" w:line="374" w:lineRule="exact"/>
        <w:rPr>
          <w:sz w:val="20"/>
          <w:szCs w:val="20"/>
          <w:color w:val="auto"/>
        </w:rPr>
      </w:pPr>
    </w:p>
    <w:p>
      <w:pPr>
        <w:ind w:left="140"/>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4.13</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4.14</w:t>
        </w:r>
      </w:hyperlink>
    </w:p>
    <w:p>
      <w:pPr>
        <w:spacing w:after="0" w:line="293" w:lineRule="exact"/>
        <w:rPr>
          <w:sz w:val="20"/>
          <w:szCs w:val="20"/>
          <w:color w:val="auto"/>
        </w:rPr>
      </w:pPr>
    </w:p>
    <w:p>
      <w:pPr>
        <w:ind w:left="14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4.15</w:t>
        </w:r>
      </w:hyperlink>
    </w:p>
    <w:p>
      <w:pPr>
        <w:spacing w:after="0" w:line="200" w:lineRule="exact"/>
        <w:rPr>
          <w:sz w:val="20"/>
          <w:szCs w:val="20"/>
          <w:color w:val="auto"/>
        </w:rPr>
      </w:pPr>
    </w:p>
    <w:p>
      <w:pPr>
        <w:spacing w:after="0" w:line="255" w:lineRule="exact"/>
        <w:rPr>
          <w:sz w:val="20"/>
          <w:szCs w:val="20"/>
          <w:color w:val="auto"/>
        </w:rPr>
      </w:pPr>
    </w:p>
    <w:p>
      <w:pPr>
        <w:ind w:left="14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4.16</w:t>
        </w:r>
      </w:hyperlink>
    </w:p>
    <w:p>
      <w:pPr>
        <w:spacing w:after="0" w:line="374" w:lineRule="exact"/>
        <w:rPr>
          <w:sz w:val="20"/>
          <w:szCs w:val="20"/>
          <w:color w:val="auto"/>
        </w:rPr>
      </w:pPr>
    </w:p>
    <w:p>
      <w:pPr>
        <w:ind w:left="14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4.17</w:t>
        </w:r>
      </w:hyperlink>
    </w:p>
    <w:p>
      <w:pPr>
        <w:spacing w:after="0" w:line="374" w:lineRule="exact"/>
        <w:rPr>
          <w:sz w:val="20"/>
          <w:szCs w:val="20"/>
          <w:color w:val="auto"/>
        </w:rPr>
      </w:pPr>
    </w:p>
    <w:p>
      <w:pPr>
        <w:ind w:left="14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4.18</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3810</wp:posOffset>
            </wp:positionV>
            <wp:extent cx="7098030"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right="1040"/>
        <w:spacing w:after="0" w:line="264"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1" w:lineRule="exact"/>
        <w:rPr>
          <w:sz w:val="20"/>
          <w:szCs w:val="20"/>
          <w:color w:val="auto"/>
        </w:rPr>
      </w:pPr>
    </w:p>
    <w:p>
      <w:pPr>
        <w:ind w:right="1320"/>
        <w:spacing w:after="0" w:line="234"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548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098030" cy="548640"/>
                    </a:xfrm>
                    <a:prstGeom prst="rect">
                      <a:avLst/>
                    </a:prstGeom>
                    <a:noFill/>
                  </pic:spPr>
                </pic:pic>
              </a:graphicData>
            </a:graphic>
          </wp:anchor>
        </w:drawing>
      </w:r>
    </w:p>
    <w:p>
      <w:pPr>
        <w:spacing w:after="0" w:line="35" w:lineRule="exact"/>
        <w:rPr>
          <w:sz w:val="20"/>
          <w:szCs w:val="20"/>
          <w:color w:val="auto"/>
        </w:rPr>
      </w:pPr>
    </w:p>
    <w:p>
      <w:pPr>
        <w:ind w:right="980"/>
        <w:spacing w:after="0" w:line="21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09" w:lineRule="exact"/>
        <w:rPr>
          <w:sz w:val="20"/>
          <w:szCs w:val="20"/>
          <w:color w:val="auto"/>
        </w:rPr>
      </w:pPr>
    </w:p>
    <w:p>
      <w:pPr>
        <w:jc w:val="both"/>
        <w:ind w:right="960"/>
        <w:spacing w:after="0" w:line="224" w:lineRule="auto"/>
        <w:rPr>
          <w:sz w:val="20"/>
          <w:szCs w:val="20"/>
          <w:color w:val="auto"/>
        </w:rPr>
      </w:pPr>
      <w:r>
        <w:rPr>
          <w:rFonts w:ascii="Arial" w:cs="Arial" w:eastAsia="Arial" w:hAnsi="Arial"/>
          <w:sz w:val="18"/>
          <w:szCs w:val="18"/>
          <w:color w:val="auto"/>
        </w:rPr>
        <w:t>First Supplemental Indenture, dated September 1, 2018, by and among Marriott Ownership Resorts, Inc., ILG, LLC, the guarantors party thereto and the Bank of New York Mellon Trust Company, N.A., as trustee</w:t>
      </w:r>
    </w:p>
    <w:p>
      <w:pPr>
        <w:spacing w:after="0" w:line="55" w:lineRule="exact"/>
        <w:rPr>
          <w:sz w:val="20"/>
          <w:szCs w:val="20"/>
          <w:color w:val="auto"/>
        </w:rPr>
      </w:pPr>
    </w:p>
    <w:p>
      <w:pPr>
        <w:ind w:right="1280"/>
        <w:spacing w:after="0" w:line="237" w:lineRule="auto"/>
        <w:rPr>
          <w:sz w:val="20"/>
          <w:szCs w:val="20"/>
          <w:color w:val="auto"/>
        </w:rPr>
      </w:pPr>
      <w:r>
        <w:rPr>
          <w:rFonts w:ascii="Arial" w:cs="Arial" w:eastAsia="Arial" w:hAnsi="Arial"/>
          <w:sz w:val="17"/>
          <w:szCs w:val="17"/>
          <w:color w:val="auto"/>
        </w:rPr>
        <w:t>Second Supplemental Indenture, dated December 31, 2019, by and among Marriott Ownership Resorts, Inc., ILG, LLC, MVW Vacations, LLC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-366395</wp:posOffset>
            </wp:positionV>
            <wp:extent cx="7098030" cy="3689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jc w:val="both"/>
        <w:ind w:right="1000"/>
        <w:spacing w:after="0" w:line="224" w:lineRule="auto"/>
        <w:rPr>
          <w:sz w:val="20"/>
          <w:szCs w:val="20"/>
          <w:color w:val="auto"/>
        </w:rPr>
      </w:pPr>
      <w:r>
        <w:rPr>
          <w:rFonts w:ascii="Arial" w:cs="Arial" w:eastAsia="Arial" w:hAnsi="Arial"/>
          <w:sz w:val="18"/>
          <w:szCs w:val="18"/>
          <w:color w:val="auto"/>
        </w:rPr>
        <w:t>Third Supplemental Indenture, dated February 26, 2020, by and among Marriott Ownership Resorts, Inc., ILG, LLC, MVW Services Corporation,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right="1280"/>
        <w:spacing w:after="0" w:line="234"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1" w:lineRule="exact"/>
        <w:rPr>
          <w:sz w:val="20"/>
          <w:szCs w:val="20"/>
          <w:color w:val="auto"/>
        </w:rPr>
      </w:pPr>
    </w:p>
    <w:p>
      <w:pPr>
        <w:ind w:right="940"/>
        <w:spacing w:after="0" w:line="21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1060"/>
        <w:spacing w:after="0" w:line="21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1" w:lineRule="exact"/>
        <w:rPr>
          <w:sz w:val="20"/>
          <w:szCs w:val="20"/>
          <w:color w:val="auto"/>
        </w:rPr>
      </w:pPr>
    </w:p>
    <w:p>
      <w:pPr>
        <w:ind w:right="980"/>
        <w:spacing w:after="0" w:line="219" w:lineRule="auto"/>
        <w:rPr>
          <w:sz w:val="20"/>
          <w:szCs w:val="20"/>
          <w:color w:val="auto"/>
        </w:rPr>
      </w:pPr>
      <w:r>
        <w:rPr>
          <w:rFonts w:ascii="Arial" w:cs="Arial" w:eastAsia="Arial" w:hAnsi="Arial"/>
          <w:sz w:val="18"/>
          <w:szCs w:val="18"/>
          <w:color w:val="auto"/>
        </w:rPr>
        <w:t>Indenture, dated as of October 1, 2019, by and among Marriott Ownership Resorts, Inc., Marriott Vacations 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368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jc w:val="both"/>
        <w:ind w:right="1340"/>
        <w:spacing w:after="0" w:line="224" w:lineRule="auto"/>
        <w:rPr>
          <w:sz w:val="20"/>
          <w:szCs w:val="20"/>
          <w:color w:val="auto"/>
        </w:rPr>
      </w:pPr>
      <w:r>
        <w:rPr>
          <w:rFonts w:ascii="Arial" w:cs="Arial" w:eastAsia="Arial" w:hAnsi="Arial"/>
          <w:sz w:val="18"/>
          <w:szCs w:val="18"/>
          <w:color w:val="auto"/>
        </w:rPr>
        <w:t>Supplemental Indenture, dated December 31, 2019, by and among Marriott Ownership Resorts, Inc., MVW Vacations, LLC and the Bank of New York Mellon Trust Company, N.A., as trustee</w:t>
      </w:r>
    </w:p>
    <w:p>
      <w:pPr>
        <w:spacing w:after="0" w:line="1" w:lineRule="exact"/>
        <w:rPr>
          <w:sz w:val="20"/>
          <w:szCs w:val="20"/>
          <w:color w:val="auto"/>
        </w:rPr>
      </w:pPr>
    </w:p>
    <w:p>
      <w:pPr>
        <w:ind w:right="1040"/>
        <w:spacing w:after="0" w:line="224" w:lineRule="auto"/>
        <w:rPr>
          <w:sz w:val="20"/>
          <w:szCs w:val="20"/>
          <w:color w:val="auto"/>
        </w:rPr>
      </w:pPr>
      <w:r>
        <w:rPr>
          <w:rFonts w:ascii="Arial" w:cs="Arial" w:eastAsia="Arial" w:hAnsi="Arial"/>
          <w:sz w:val="18"/>
          <w:szCs w:val="18"/>
          <w:color w:val="auto"/>
        </w:rPr>
        <w:t>Second Supplemental Indenture, dated February 26, 2020, by and among Marriott Ownership Resorts, Inc., MVW Services Corporation,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right="1120"/>
        <w:spacing w:after="0" w:line="234" w:lineRule="auto"/>
        <w:rPr>
          <w:sz w:val="20"/>
          <w:szCs w:val="20"/>
          <w:color w:val="auto"/>
        </w:rPr>
      </w:pPr>
      <w:r>
        <w:rPr>
          <w:rFonts w:ascii="Arial" w:cs="Arial" w:eastAsia="Arial" w:hAnsi="Arial"/>
          <w:sz w:val="18"/>
          <w:szCs w:val="18"/>
          <w:color w:val="auto"/>
        </w:rPr>
        <w:t>Form of 4.750% Senior Notes due 2028 (included as Exhibit A to Exhibit 4.11 above)</w:t>
      </w:r>
    </w:p>
    <w:p>
      <w:pPr>
        <w:spacing w:after="0" w:line="1" w:lineRule="exact"/>
        <w:rPr>
          <w:sz w:val="20"/>
          <w:szCs w:val="20"/>
          <w:color w:val="auto"/>
        </w:rPr>
      </w:pPr>
    </w:p>
    <w:p>
      <w:pPr>
        <w:ind w:right="960"/>
        <w:spacing w:after="0" w:line="252" w:lineRule="auto"/>
        <w:rPr>
          <w:sz w:val="20"/>
          <w:szCs w:val="20"/>
          <w:color w:val="auto"/>
        </w:rPr>
      </w:pPr>
      <w:r>
        <w:rPr>
          <w:rFonts w:ascii="Arial" w:cs="Arial" w:eastAsia="Arial" w:hAnsi="Arial"/>
          <w:sz w:val="16"/>
          <w:szCs w:val="16"/>
          <w:color w:val="auto"/>
        </w:rPr>
        <w:t>Registration Rights Agreement, dated as of October 1, 2019, by and among Marriott Ownership Resorts, Inc., Marriott Vacations Worldwide Corporation, as guarantor, the other guarantors party thereto and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940"/>
        <w:spacing w:after="0" w:line="219" w:lineRule="auto"/>
        <w:rPr>
          <w:sz w:val="20"/>
          <w:szCs w:val="20"/>
          <w:color w:val="auto"/>
        </w:rPr>
      </w:pPr>
      <w:r>
        <w:rPr>
          <w:rFonts w:ascii="Arial" w:cs="Arial" w:eastAsia="Arial" w:hAnsi="Arial"/>
          <w:sz w:val="18"/>
          <w:szCs w:val="18"/>
          <w:color w:val="auto"/>
        </w:rPr>
        <w:t>Indenture, dated as of May 13, 2020, by and among Marriott Ownership Resorts, Inc., Marriott Vacations Worldwide Corporation, as guarantor, the other guarantors party thereto and The Bank of New York Mellon Trust Company, N.A., as trustee and collateral agent</w:t>
      </w:r>
    </w:p>
    <w:p>
      <w:pPr>
        <w:spacing w:after="0" w:line="1" w:lineRule="exact"/>
        <w:rPr>
          <w:sz w:val="20"/>
          <w:szCs w:val="20"/>
          <w:color w:val="auto"/>
        </w:rPr>
      </w:pPr>
    </w:p>
    <w:p>
      <w:pPr>
        <w:ind w:right="1420"/>
        <w:spacing w:after="0" w:line="234" w:lineRule="auto"/>
        <w:rPr>
          <w:sz w:val="20"/>
          <w:szCs w:val="20"/>
          <w:color w:val="auto"/>
        </w:rPr>
      </w:pPr>
      <w:r>
        <w:rPr>
          <w:rFonts w:ascii="Arial" w:cs="Arial" w:eastAsia="Arial" w:hAnsi="Arial"/>
          <w:sz w:val="18"/>
          <w:szCs w:val="18"/>
          <w:color w:val="auto"/>
        </w:rPr>
        <w:t>Form of 6.125% Senior Secured Notes due 2025 (included as Exhibit A to Exhibit 4.16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1260"/>
        <w:spacing w:after="0" w:line="219" w:lineRule="auto"/>
        <w:rPr>
          <w:sz w:val="20"/>
          <w:szCs w:val="20"/>
          <w:color w:val="auto"/>
        </w:rPr>
      </w:pPr>
      <w:r>
        <w:rPr>
          <w:rFonts w:ascii="Arial" w:cs="Arial" w:eastAsia="Arial" w:hAnsi="Arial"/>
          <w:sz w:val="18"/>
          <w:szCs w:val="18"/>
          <w:color w:val="auto"/>
        </w:rPr>
        <w:t>Indenture, dated as of February 2, 2021, by and among Marriott Vacations Worldwide Corporation, Marriott Ownership Resorts, Inc. and the other guarantors party thereto and The Bank of New York Mellon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07"/>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405"/>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634"/>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783"/>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634"/>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581"/>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48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58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75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75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10/1/2019</w:t>
            </w:r>
          </w:p>
        </w:tc>
      </w:tr>
      <w:tr>
        <w:trPr>
          <w:trHeight w:val="675"/>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58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48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10/1/2019</w:t>
            </w:r>
          </w:p>
        </w:tc>
      </w:tr>
      <w:tr>
        <w:trPr>
          <w:trHeight w:val="499"/>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10/1/2019</w:t>
            </w:r>
          </w:p>
        </w:tc>
      </w:tr>
      <w:tr>
        <w:trPr>
          <w:trHeight w:val="662"/>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5/15/2020</w:t>
            </w:r>
          </w:p>
        </w:tc>
      </w:tr>
      <w:tr>
        <w:trPr>
          <w:trHeight w:val="58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5/15/2020</w:t>
            </w:r>
          </w:p>
        </w:tc>
      </w:tr>
      <w:tr>
        <w:trPr>
          <w:trHeight w:val="58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2/3/2021</w:t>
            </w:r>
          </w:p>
        </w:tc>
      </w:tr>
    </w:tbl>
    <w:p>
      <w:pPr>
        <w:sectPr>
          <w:pgSz w:w="11900" w:h="16838" w:orient="portrait"/>
          <w:cols w:equalWidth="0" w:num="3">
            <w:col w:w="580" w:space="300"/>
            <w:col w:w="6780" w:space="260"/>
            <w:col w:w="3080"/>
          </w:cols>
          <w:pgMar w:left="540" w:top="1098" w:right="359" w:bottom="1440" w:gutter="0" w:footer="0" w:header="0"/>
        </w:sectPr>
      </w:pPr>
    </w:p>
    <w:bookmarkStart w:id="135" w:name="page136"/>
    <w:bookmarkEnd w:id="135"/>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000" w:type="dxa"/>
            <w:vAlign w:val="bottom"/>
            <w:gridSpan w:val="2"/>
            <w:vMerge w:val="restart"/>
          </w:tcPr>
          <w:p>
            <w:pPr>
              <w:ind w:left="2560"/>
              <w:spacing w:after="0"/>
              <w:rPr>
                <w:sz w:val="20"/>
                <w:szCs w:val="20"/>
                <w:color w:val="auto"/>
              </w:rPr>
            </w:pPr>
            <w:r>
              <w:rPr>
                <w:rFonts w:ascii="Arial" w:cs="Arial" w:eastAsia="Arial" w:hAnsi="Arial"/>
                <w:sz w:val="16"/>
                <w:szCs w:val="16"/>
                <w:b w:val="1"/>
                <w:bCs w:val="1"/>
                <w:color w:val="auto"/>
              </w:rPr>
              <w:t>Description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3"/>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00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72"/>
        </w:trPr>
        <w:tc>
          <w:tcPr>
            <w:tcW w:w="940" w:type="dxa"/>
            <w:vAlign w:val="bottom"/>
            <w:tcBorders>
              <w:top w:val="single" w:sz="8" w:color="auto"/>
            </w:tcBorders>
            <w:vMerge w:val="restart"/>
          </w:tcPr>
          <w:p>
            <w:pPr>
              <w:jc w:val="center"/>
              <w:spacing w:after="0"/>
              <w:rPr>
                <w:rFonts w:ascii="Arial" w:cs="Arial" w:eastAsia="Arial" w:hAnsi="Arial"/>
                <w:sz w:val="18"/>
                <w:szCs w:val="18"/>
                <w:u w:val="single" w:color="auto"/>
                <w:color w:val="0000FF"/>
                <w:w w:val="85"/>
              </w:rPr>
            </w:pPr>
            <w:hyperlink r:id="rId196">
              <w:r>
                <w:rPr>
                  <w:rFonts w:ascii="Arial" w:cs="Arial" w:eastAsia="Arial" w:hAnsi="Arial"/>
                  <w:sz w:val="18"/>
                  <w:szCs w:val="18"/>
                  <w:u w:val="single" w:color="auto"/>
                  <w:color w:val="0000FF"/>
                  <w:w w:val="85"/>
                </w:rPr>
                <w:t>4.19</w:t>
              </w:r>
            </w:hyperlink>
          </w:p>
        </w:tc>
        <w:tc>
          <w:tcPr>
            <w:tcW w:w="100" w:type="dxa"/>
            <w:vAlign w:val="bottom"/>
          </w:tcPr>
          <w:p>
            <w:pPr>
              <w:spacing w:after="0"/>
              <w:rPr>
                <w:sz w:val="14"/>
                <w:szCs w:val="14"/>
                <w:color w:val="auto"/>
              </w:rPr>
            </w:pPr>
          </w:p>
        </w:tc>
        <w:tc>
          <w:tcPr>
            <w:tcW w:w="590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8"/>
                <w:szCs w:val="18"/>
                <w:color w:val="auto"/>
                <w:w w:val="98"/>
              </w:rPr>
              <w:t>Form of 0.00% Convertible Senior Note due 2026 (included as Exhibit A to</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 4.18 above)</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rFonts w:ascii="Arial" w:cs="Arial" w:eastAsia="Arial" w:hAnsi="Arial"/>
                <w:sz w:val="18"/>
                <w:szCs w:val="18"/>
                <w:u w:val="single" w:color="auto"/>
                <w:color w:val="0000FF"/>
                <w:w w:val="85"/>
              </w:rPr>
            </w:pPr>
            <w:hyperlink r:id="rId207">
              <w:r>
                <w:rPr>
                  <w:rFonts w:ascii="Arial" w:cs="Arial" w:eastAsia="Arial" w:hAnsi="Arial"/>
                  <w:sz w:val="18"/>
                  <w:szCs w:val="18"/>
                  <w:u w:val="single" w:color="auto"/>
                  <w:color w:val="0000FF"/>
                  <w:w w:val="85"/>
                </w:rPr>
                <w:t>4.20</w:t>
              </w:r>
            </w:hyperlink>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Description of Registered Securities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08">
              <w:r>
                <w:rPr>
                  <w:rFonts w:ascii="Arial" w:cs="Arial" w:eastAsia="Arial" w:hAnsi="Arial"/>
                  <w:sz w:val="18"/>
                  <w:szCs w:val="18"/>
                  <w:u w:val="single" w:color="auto"/>
                  <w:color w:val="0000FF"/>
                  <w:w w:val="85"/>
                </w:rPr>
                <w:t>10.1</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License, Services, and Development Agreement, entered into on November 17,</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2011, among Marriott International, Inc., Marriott Worldwide Corporation,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w w:val="99"/>
              </w:rPr>
              <w:t>Marriott Vacations Worldwide Corporation and the other signatories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09">
              <w:r>
                <w:rPr>
                  <w:rFonts w:ascii="Arial" w:cs="Arial" w:eastAsia="Arial" w:hAnsi="Arial"/>
                  <w:sz w:val="18"/>
                  <w:szCs w:val="18"/>
                  <w:u w:val="single" w:color="auto"/>
                  <w:color w:val="0000FF"/>
                  <w:w w:val="85"/>
                </w:rPr>
                <w:t>10.2</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Letter Agreement, dated as of February 21, 2013, between Marriott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International, Inc. and Marriott Vacations Worldwide Corporation,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supplementing the License, Services, and Development Agreement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0">
              <w:r>
                <w:rPr>
                  <w:rFonts w:ascii="Arial" w:cs="Arial" w:eastAsia="Arial" w:hAnsi="Arial"/>
                  <w:sz w:val="18"/>
                  <w:szCs w:val="18"/>
                  <w:u w:val="single" w:color="auto"/>
                  <w:color w:val="0000FF"/>
                  <w:w w:val="85"/>
                </w:rPr>
                <w:t>10.3</w:t>
              </w:r>
            </w:hyperlink>
          </w:p>
        </w:tc>
        <w:tc>
          <w:tcPr>
            <w:tcW w:w="100" w:type="dxa"/>
            <w:vAlign w:val="bottom"/>
          </w:tcPr>
          <w:p>
            <w:pPr>
              <w:spacing w:after="0"/>
              <w:rPr>
                <w:sz w:val="23"/>
                <w:szCs w:val="23"/>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w w:val="98"/>
              </w:rPr>
              <w:t>Letter Agreement, dated May 9, 2016, among Marriott Vacations Worldwide</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Corporation, Marriott Worldwide Corporation and Marriott International, Inc.</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relating to the License, Services, and Development Agreement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w w:val="92"/>
              </w:rPr>
              <w:t>First Amendment to License, Services, and Development Agreement, dated as of</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1">
              <w:r>
                <w:rPr>
                  <w:rFonts w:ascii="Arial" w:cs="Arial" w:eastAsia="Arial" w:hAnsi="Arial"/>
                  <w:sz w:val="18"/>
                  <w:szCs w:val="18"/>
                  <w:u w:val="single" w:color="auto"/>
                  <w:color w:val="0000FF"/>
                  <w:w w:val="85"/>
                </w:rPr>
                <w:t>10.4</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February 26, 2018, among Marriott International, Inc., Marriott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Corporation, Marriott Vacations Worldwide Corporation and the other</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signatories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Amended and Restated Side Letter Agreement, dated as of February 26, 2018 by</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2">
              <w:r>
                <w:rPr>
                  <w:rFonts w:ascii="Arial" w:cs="Arial" w:eastAsia="Arial" w:hAnsi="Arial"/>
                  <w:sz w:val="18"/>
                  <w:szCs w:val="18"/>
                  <w:u w:val="single" w:color="auto"/>
                  <w:color w:val="0000FF"/>
                  <w:w w:val="85"/>
                </w:rPr>
                <w:t>10.5</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among Marriott International, Inc., Marriott Worldwide Corporation, Marriott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Rewards, LLC, Marriott Vacations Worldwide Corporation and Marriott</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Ownership Resorts, Inc.†</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3">
              <w:r>
                <w:rPr>
                  <w:rFonts w:ascii="Arial" w:cs="Arial" w:eastAsia="Arial" w:hAnsi="Arial"/>
                  <w:sz w:val="18"/>
                  <w:szCs w:val="18"/>
                  <w:u w:val="single" w:color="auto"/>
                  <w:color w:val="0000FF"/>
                  <w:w w:val="85"/>
                </w:rPr>
                <w:t>10.6</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License, Services, and Development Agreement, entered into on November 17,</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2011, among The Ritz-Carlton Hotel Company, L.L.C., Marriott Vacations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Worldwide Corporation and the other signatories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4">
              <w:r>
                <w:rPr>
                  <w:rFonts w:ascii="Arial" w:cs="Arial" w:eastAsia="Arial" w:hAnsi="Arial"/>
                  <w:sz w:val="18"/>
                  <w:szCs w:val="18"/>
                  <w:u w:val="single" w:color="auto"/>
                  <w:color w:val="0000FF"/>
                  <w:w w:val="85"/>
                </w:rPr>
                <w:t>10.7</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First Amendment to License, Services, and Development Agreement, dated as of</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February 26, 2018, among The Ritz-Carlton Hotel Company, L.L.C., Marriott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Vacations Worldwide Corporation and the other signatures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5">
              <w:r>
                <w:rPr>
                  <w:rFonts w:ascii="Arial" w:cs="Arial" w:eastAsia="Arial" w:hAnsi="Arial"/>
                  <w:sz w:val="18"/>
                  <w:szCs w:val="18"/>
                  <w:u w:val="single" w:color="auto"/>
                  <w:color w:val="0000FF"/>
                  <w:w w:val="85"/>
                </w:rPr>
                <w:t>10.8</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Employee Benefits and Other Employment Matters Allocation Agreement,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entered into on November 17, 2011, between Marriott International, Inc.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Marriott Vacations Worldwide Corporation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5"/>
              </w:rPr>
            </w:pPr>
            <w:hyperlink r:id="rId216">
              <w:r>
                <w:rPr>
                  <w:rFonts w:ascii="Arial" w:cs="Arial" w:eastAsia="Arial" w:hAnsi="Arial"/>
                  <w:sz w:val="18"/>
                  <w:szCs w:val="18"/>
                  <w:u w:val="single" w:color="auto"/>
                  <w:color w:val="0000FF"/>
                  <w:w w:val="85"/>
                </w:rPr>
                <w:t>10.9</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Tax Sharing and Indemnification Agreement, entered into on November 17,</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2011, between Marriott International, Inc. and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8"/>
              </w:rPr>
            </w:pPr>
            <w:hyperlink r:id="rId217">
              <w:r>
                <w:rPr>
                  <w:rFonts w:ascii="Arial" w:cs="Arial" w:eastAsia="Arial" w:hAnsi="Arial"/>
                  <w:sz w:val="18"/>
                  <w:szCs w:val="18"/>
                  <w:u w:val="single" w:color="auto"/>
                  <w:color w:val="0000FF"/>
                  <w:w w:val="88"/>
                </w:rPr>
                <w:t>10.10</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Amendment, dated August 2, 2012, between Marriott International, Inc.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Marriott Vacations Worldwide Corporation, to the Tax Sharing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Indemnification Agreement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Marriott Rewards Affiliation Agreement, entered into on November 17, 2011,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restart"/>
          </w:tcPr>
          <w:p>
            <w:pPr>
              <w:jc w:val="center"/>
              <w:spacing w:after="0"/>
              <w:rPr>
                <w:rFonts w:ascii="Arial" w:cs="Arial" w:eastAsia="Arial" w:hAnsi="Arial"/>
                <w:sz w:val="18"/>
                <w:szCs w:val="18"/>
                <w:u w:val="single" w:color="auto"/>
                <w:color w:val="0000FF"/>
                <w:w w:val="88"/>
              </w:rPr>
            </w:pPr>
            <w:hyperlink r:id="rId218">
              <w:r>
                <w:rPr>
                  <w:rFonts w:ascii="Arial" w:cs="Arial" w:eastAsia="Arial" w:hAnsi="Arial"/>
                  <w:sz w:val="18"/>
                  <w:szCs w:val="18"/>
                  <w:u w:val="single" w:color="auto"/>
                  <w:color w:val="0000FF"/>
                  <w:w w:val="88"/>
                </w:rPr>
                <w:t>10.11</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among Marriott International, Inc., Marriott Rewards, LLC, Marriott Vacations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Worldwide Corporation, Marriott Ownership Resorts, Inc. and the other</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signatories thereto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8"/>
              </w:rPr>
            </w:pPr>
            <w:hyperlink r:id="rId219">
              <w:r>
                <w:rPr>
                  <w:rFonts w:ascii="Arial" w:cs="Arial" w:eastAsia="Arial" w:hAnsi="Arial"/>
                  <w:sz w:val="18"/>
                  <w:szCs w:val="18"/>
                  <w:u w:val="single" w:color="auto"/>
                  <w:color w:val="0000FF"/>
                  <w:w w:val="88"/>
                </w:rPr>
                <w:t>10.12</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First Amendment to Marriott Rewards Affiliation Agreement, dated as of</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February 26, 2018, among Marriott International, Inc., Marriott Rewards, LLC,</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w w:val="94"/>
              </w:rPr>
              <w:t>Marriott Vacations Worldwide Corporation and Marriott Ownership Resorts, Inc.</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vMerge w:val="restart"/>
          </w:tcPr>
          <w:p>
            <w:pPr>
              <w:jc w:val="center"/>
              <w:spacing w:after="0"/>
              <w:rPr>
                <w:rFonts w:ascii="Arial" w:cs="Arial" w:eastAsia="Arial" w:hAnsi="Arial"/>
                <w:sz w:val="18"/>
                <w:szCs w:val="18"/>
                <w:u w:val="single" w:color="auto"/>
                <w:color w:val="0000FF"/>
                <w:w w:val="88"/>
              </w:rPr>
            </w:pPr>
            <w:hyperlink r:id="rId220">
              <w:r>
                <w:rPr>
                  <w:rFonts w:ascii="Arial" w:cs="Arial" w:eastAsia="Arial" w:hAnsi="Arial"/>
                  <w:sz w:val="18"/>
                  <w:szCs w:val="18"/>
                  <w:u w:val="single" w:color="auto"/>
                  <w:color w:val="0000FF"/>
                  <w:w w:val="88"/>
                </w:rPr>
                <w:t>10.13</w:t>
              </w:r>
            </w:hyperlink>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Termination of Noncompetition Agreement, dated as of February 26, 2018,</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between Marriott International, Inc. and Marriott Vacations Worldwide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-5383530</wp:posOffset>
            </wp:positionV>
            <wp:extent cx="709803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-4869180</wp:posOffset>
            </wp:positionV>
            <wp:extent cx="7098030" cy="3689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098030" cy="3689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-4020185</wp:posOffset>
            </wp:positionV>
            <wp:extent cx="7098030" cy="480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098030" cy="4800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-3060065</wp:posOffset>
            </wp:positionV>
            <wp:extent cx="7098030" cy="3689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098030" cy="3689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-2322830</wp:posOffset>
            </wp:positionV>
            <wp:extent cx="7098030" cy="3689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098030" cy="3689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-1585595</wp:posOffset>
            </wp:positionV>
            <wp:extent cx="7098030" cy="368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098030" cy="3683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-737235</wp:posOffset>
            </wp:positionV>
            <wp:extent cx="7098030" cy="368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098030" cy="3683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0</wp:posOffset>
            </wp:positionV>
            <wp:extent cx="7098030"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75"/>
        </w:trPr>
        <w:tc>
          <w:tcPr>
            <w:tcW w:w="600" w:type="dxa"/>
            <w:vAlign w:val="bottom"/>
            <w:vMerge w:val="restart"/>
          </w:tcPr>
          <w:p>
            <w:pPr>
              <w:jc w:val="right"/>
              <w:ind w:right="110"/>
              <w:spacing w:after="0"/>
              <w:rPr>
                <w:rFonts w:ascii="Arial" w:cs="Arial" w:eastAsia="Arial" w:hAnsi="Arial"/>
                <w:sz w:val="18"/>
                <w:szCs w:val="18"/>
                <w:u w:val="single" w:color="auto"/>
                <w:color w:val="0000FF"/>
                <w:w w:val="84"/>
              </w:rPr>
            </w:pPr>
            <w:hyperlink r:id="rId229">
              <w:r>
                <w:rPr>
                  <w:rFonts w:ascii="Arial" w:cs="Arial" w:eastAsia="Arial" w:hAnsi="Arial"/>
                  <w:sz w:val="18"/>
                  <w:szCs w:val="18"/>
                  <w:u w:val="single" w:color="auto"/>
                  <w:color w:val="0000FF"/>
                  <w:w w:val="84"/>
                </w:rPr>
                <w:t>10.14</w:t>
              </w:r>
            </w:hyperlink>
          </w:p>
        </w:tc>
        <w:tc>
          <w:tcPr>
            <w:tcW w:w="5880" w:type="dxa"/>
            <w:vAlign w:val="bottom"/>
          </w:tcPr>
          <w:p>
            <w:pPr>
              <w:ind w:left="200"/>
              <w:spacing w:after="0" w:line="175" w:lineRule="exact"/>
              <w:rPr>
                <w:sz w:val="20"/>
                <w:szCs w:val="20"/>
                <w:color w:val="auto"/>
              </w:rPr>
            </w:pPr>
            <w:r>
              <w:rPr>
                <w:rFonts w:ascii="Arial" w:cs="Arial" w:eastAsia="Arial" w:hAnsi="Arial"/>
                <w:sz w:val="18"/>
                <w:szCs w:val="18"/>
                <w:color w:val="auto"/>
                <w:w w:val="92"/>
              </w:rPr>
              <w:t>Marriott Vacations Worldwide Corporation Amended and Restated Stock and</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Cash Incentive Plan*</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5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110"/>
              <w:spacing w:after="0"/>
              <w:rPr>
                <w:rFonts w:ascii="Arial" w:cs="Arial" w:eastAsia="Arial" w:hAnsi="Arial"/>
                <w:sz w:val="18"/>
                <w:szCs w:val="18"/>
                <w:u w:val="single" w:color="auto"/>
                <w:color w:val="0000FF"/>
                <w:w w:val="84"/>
              </w:rPr>
            </w:pPr>
            <w:hyperlink r:id="rId230">
              <w:r>
                <w:rPr>
                  <w:rFonts w:ascii="Arial" w:cs="Arial" w:eastAsia="Arial" w:hAnsi="Arial"/>
                  <w:sz w:val="18"/>
                  <w:szCs w:val="18"/>
                  <w:u w:val="single" w:color="auto"/>
                  <w:color w:val="0000FF"/>
                  <w:w w:val="84"/>
                </w:rPr>
                <w:t>10.15</w:t>
              </w:r>
            </w:hyperlink>
          </w:p>
        </w:tc>
        <w:tc>
          <w:tcPr>
            <w:tcW w:w="5880" w:type="dxa"/>
            <w:vAlign w:val="bottom"/>
          </w:tcPr>
          <w:p>
            <w:pPr>
              <w:ind w:left="200"/>
              <w:spacing w:after="0" w:line="176" w:lineRule="exact"/>
              <w:rPr>
                <w:sz w:val="20"/>
                <w:szCs w:val="20"/>
                <w:color w:val="auto"/>
              </w:rPr>
            </w:pPr>
            <w:r>
              <w:rPr>
                <w:rFonts w:ascii="Arial" w:cs="Arial" w:eastAsia="Arial" w:hAnsi="Arial"/>
                <w:sz w:val="18"/>
                <w:szCs w:val="18"/>
                <w:color w:val="auto"/>
                <w:w w:val="97"/>
              </w:rPr>
              <w:t>Form of Restricted Stock Unit Agreement – Marriott Vacations Worldwide</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Corporation Stock and Cash Incentive Plan*</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5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110"/>
              <w:spacing w:after="0"/>
              <w:rPr>
                <w:rFonts w:ascii="Arial" w:cs="Arial" w:eastAsia="Arial" w:hAnsi="Arial"/>
                <w:sz w:val="18"/>
                <w:szCs w:val="18"/>
                <w:u w:val="single" w:color="auto"/>
                <w:color w:val="0000FF"/>
                <w:w w:val="84"/>
              </w:rPr>
            </w:pPr>
            <w:hyperlink r:id="rId231">
              <w:r>
                <w:rPr>
                  <w:rFonts w:ascii="Arial" w:cs="Arial" w:eastAsia="Arial" w:hAnsi="Arial"/>
                  <w:sz w:val="18"/>
                  <w:szCs w:val="18"/>
                  <w:u w:val="single" w:color="auto"/>
                  <w:color w:val="0000FF"/>
                  <w:w w:val="84"/>
                </w:rPr>
                <w:t>10.16</w:t>
              </w:r>
            </w:hyperlink>
          </w:p>
        </w:tc>
        <w:tc>
          <w:tcPr>
            <w:tcW w:w="5880" w:type="dxa"/>
            <w:vAlign w:val="bottom"/>
          </w:tcPr>
          <w:p>
            <w:pPr>
              <w:ind w:left="200"/>
              <w:spacing w:after="0" w:line="176" w:lineRule="exact"/>
              <w:rPr>
                <w:sz w:val="20"/>
                <w:szCs w:val="20"/>
                <w:color w:val="auto"/>
              </w:rPr>
            </w:pPr>
            <w:r>
              <w:rPr>
                <w:rFonts w:ascii="Arial" w:cs="Arial" w:eastAsia="Arial" w:hAnsi="Arial"/>
                <w:sz w:val="18"/>
                <w:szCs w:val="18"/>
                <w:color w:val="auto"/>
                <w:w w:val="92"/>
              </w:rPr>
              <w:t>Form of Stock Appreciation Right Agreement – Marriott Vacations Worldwide</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Corporation Stock and Cash Incentive Plan*</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5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3"/>
        </w:trPr>
        <w:tc>
          <w:tcPr>
            <w:tcW w:w="600" w:type="dxa"/>
            <w:vAlign w:val="bottom"/>
          </w:tcPr>
          <w:p>
            <w:pPr>
              <w:spacing w:after="0"/>
              <w:rPr>
                <w:sz w:val="24"/>
                <w:szCs w:val="24"/>
                <w:color w:val="auto"/>
              </w:rPr>
            </w:pPr>
          </w:p>
        </w:tc>
        <w:tc>
          <w:tcPr>
            <w:tcW w:w="5880" w:type="dxa"/>
            <w:vAlign w:val="bottom"/>
          </w:tcPr>
          <w:p>
            <w:pPr>
              <w:ind w:left="45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-805180</wp:posOffset>
            </wp:positionV>
            <wp:extent cx="7098030"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07"/>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2/3/2021</w:t>
            </w:r>
          </w:p>
        </w:tc>
      </w:tr>
      <w:tr>
        <w:trPr>
          <w:trHeight w:val="324"/>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405"/>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58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4/25/2013</w:t>
            </w:r>
          </w:p>
        </w:tc>
      </w:tr>
      <w:tr>
        <w:trPr>
          <w:trHeight w:val="662"/>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7/21/2016</w:t>
            </w:r>
          </w:p>
        </w:tc>
      </w:tr>
      <w:tr>
        <w:trPr>
          <w:trHeight w:val="756"/>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756"/>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675"/>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581"/>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58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58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58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10/18/2012</w:t>
            </w:r>
          </w:p>
        </w:tc>
      </w:tr>
      <w:tr>
        <w:trPr>
          <w:trHeight w:val="661"/>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11/22/2011</w:t>
            </w:r>
          </w:p>
        </w:tc>
      </w:tr>
      <w:tr>
        <w:trPr>
          <w:trHeight w:val="675"/>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58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486"/>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2/23/2017</w:t>
            </w:r>
          </w:p>
        </w:tc>
      </w:tr>
      <w:tr>
        <w:trPr>
          <w:trHeight w:val="405"/>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12/9/2011</w:t>
            </w:r>
          </w:p>
        </w:tc>
      </w:tr>
      <w:tr>
        <w:trPr>
          <w:trHeight w:val="405"/>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12/9/2011</w:t>
            </w:r>
          </w:p>
        </w:tc>
      </w:tr>
    </w:tbl>
    <w:p>
      <w:pPr>
        <w:sectPr>
          <w:pgSz w:w="11900" w:h="16838" w:orient="portrait"/>
          <w:cols w:equalWidth="0" w:num="2">
            <w:col w:w="7980" w:space="120"/>
            <w:col w:w="3080"/>
          </w:cols>
          <w:pgMar w:left="360" w:top="1098" w:right="359" w:bottom="1440" w:gutter="0" w:footer="0" w:header="0"/>
        </w:sectPr>
      </w:pPr>
    </w:p>
    <w:bookmarkStart w:id="136" w:name="page137"/>
    <w:bookmarkEnd w:id="136"/>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16510</wp:posOffset>
            </wp:positionV>
            <wp:extent cx="6000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00" w:lineRule="exact"/>
        <w:rPr>
          <w:sz w:val="20"/>
          <w:szCs w:val="20"/>
          <w:color w:val="auto"/>
        </w:rPr>
      </w:pPr>
    </w:p>
    <w:p>
      <w:pPr>
        <w:ind w:left="80"/>
        <w:spacing w:after="0"/>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10.17</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10.18</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10.19</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10.20</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10.21</w:t>
        </w:r>
      </w:hyperlink>
    </w:p>
    <w:p>
      <w:pPr>
        <w:spacing w:after="0" w:line="103" w:lineRule="exact"/>
        <w:rPr>
          <w:sz w:val="20"/>
          <w:szCs w:val="20"/>
          <w:color w:val="auto"/>
        </w:rPr>
      </w:pPr>
    </w:p>
    <w:p>
      <w:pPr>
        <w:ind w:left="80"/>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10.22</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10.23</w:t>
        </w:r>
      </w:hyperlink>
    </w:p>
    <w:p>
      <w:pPr>
        <w:spacing w:after="0" w:line="104" w:lineRule="exact"/>
        <w:rPr>
          <w:sz w:val="20"/>
          <w:szCs w:val="20"/>
          <w:color w:val="auto"/>
        </w:rPr>
      </w:pPr>
    </w:p>
    <w:p>
      <w:pPr>
        <w:ind w:left="80"/>
        <w:spacing w:after="0"/>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10.24</w:t>
        </w:r>
      </w:hyperlink>
    </w:p>
    <w:p>
      <w:pPr>
        <w:spacing w:after="0" w:line="117" w:lineRule="exact"/>
        <w:rPr>
          <w:sz w:val="20"/>
          <w:szCs w:val="20"/>
          <w:color w:val="auto"/>
        </w:rPr>
      </w:pPr>
    </w:p>
    <w:p>
      <w:pPr>
        <w:ind w:left="80"/>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10.25</w:t>
        </w:r>
      </w:hyperlink>
    </w:p>
    <w:p>
      <w:pPr>
        <w:spacing w:after="0" w:line="279" w:lineRule="exact"/>
        <w:rPr>
          <w:sz w:val="20"/>
          <w:szCs w:val="20"/>
          <w:color w:val="auto"/>
        </w:rPr>
      </w:pPr>
    </w:p>
    <w:p>
      <w:pPr>
        <w:ind w:left="80"/>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10.26</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10.27</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10.28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10.29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10.30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10.31</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44062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ind w:right="1140"/>
        <w:spacing w:after="0" w:line="235" w:lineRule="auto"/>
        <w:rPr>
          <w:sz w:val="20"/>
          <w:szCs w:val="20"/>
          <w:color w:val="auto"/>
        </w:rPr>
      </w:pPr>
      <w:r>
        <w:rPr>
          <w:rFonts w:ascii="Arial" w:cs="Arial" w:eastAsia="Arial" w:hAnsi="Arial"/>
          <w:sz w:val="18"/>
          <w:szCs w:val="18"/>
          <w:color w:val="auto"/>
        </w:rPr>
        <w:t>Form of Performance Unit Award Agreement – Marriott Vacations Worldwide Corporation Stock and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0</wp:posOffset>
            </wp:positionV>
            <wp:extent cx="709803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Non-Employee Director Share Award Confirmation*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Non-Employee Director Stock Appreciation Right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Director Stock Unit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 Change in Control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 w:lineRule="exact"/>
        <w:rPr>
          <w:sz w:val="20"/>
          <w:szCs w:val="20"/>
          <w:color w:val="auto"/>
        </w:rPr>
      </w:pPr>
    </w:p>
    <w:p>
      <w:pPr>
        <w:ind w:right="1060"/>
        <w:spacing w:after="0" w:line="264" w:lineRule="auto"/>
        <w:rPr>
          <w:sz w:val="20"/>
          <w:szCs w:val="20"/>
          <w:color w:val="auto"/>
        </w:rPr>
      </w:pPr>
      <w:r>
        <w:rPr>
          <w:rFonts w:ascii="Arial" w:cs="Arial" w:eastAsia="Arial" w:hAnsi="Arial"/>
          <w:sz w:val="16"/>
          <w:szCs w:val="16"/>
          <w:color w:val="auto"/>
        </w:rPr>
        <w:t>Form of Participation Agreement for Change in Control Severance Plan – Marriott Vacations Worldwide Corporation Change in Control Severance Plan*</w:t>
      </w:r>
    </w:p>
    <w:p>
      <w:pPr>
        <w:spacing w:after="0"/>
        <w:rPr>
          <w:sz w:val="20"/>
          <w:szCs w:val="20"/>
          <w:color w:val="auto"/>
        </w:rPr>
      </w:pPr>
      <w:r>
        <w:rPr>
          <w:rFonts w:ascii="Arial" w:cs="Arial" w:eastAsia="Arial" w:hAnsi="Arial"/>
          <w:sz w:val="18"/>
          <w:szCs w:val="18"/>
          <w:color w:val="auto"/>
        </w:rPr>
        <w:t>Marriott Vacations Worldwide Corporation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 w:lineRule="exact"/>
        <w:rPr>
          <w:sz w:val="20"/>
          <w:szCs w:val="20"/>
          <w:color w:val="auto"/>
        </w:rPr>
      </w:pPr>
    </w:p>
    <w:p>
      <w:pPr>
        <w:ind w:right="1300"/>
        <w:spacing w:after="0" w:line="234" w:lineRule="auto"/>
        <w:rPr>
          <w:sz w:val="20"/>
          <w:szCs w:val="20"/>
          <w:color w:val="auto"/>
        </w:rPr>
      </w:pPr>
      <w:r>
        <w:rPr>
          <w:rFonts w:ascii="Arial" w:cs="Arial" w:eastAsia="Arial" w:hAnsi="Arial"/>
          <w:sz w:val="18"/>
          <w:szCs w:val="18"/>
          <w:color w:val="auto"/>
        </w:rPr>
        <w:t>Marriott Vacations Worldwide Corporation Executive Long-Term Disability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3" w:lineRule="exact"/>
        <w:rPr>
          <w:sz w:val="20"/>
          <w:szCs w:val="20"/>
          <w:color w:val="auto"/>
        </w:rPr>
      </w:pPr>
    </w:p>
    <w:p>
      <w:pPr>
        <w:ind w:right="1100"/>
        <w:spacing w:after="0" w:line="219" w:lineRule="auto"/>
        <w:rPr>
          <w:sz w:val="20"/>
          <w:szCs w:val="20"/>
          <w:color w:val="auto"/>
        </w:rPr>
      </w:pPr>
      <w:r>
        <w:rPr>
          <w:rFonts w:ascii="Arial" w:cs="Arial" w:eastAsia="Arial" w:hAnsi="Arial"/>
          <w:sz w:val="18"/>
          <w:szCs w:val="18"/>
          <w:color w:val="auto"/>
        </w:rPr>
        <w:t>Third Amended and Restated Indenture and Servicing Agreement, entered into September 15, 2014 and dated as of September 1, 2014, among Marriott Vacations Worldwide Owner Trust 2011-1, Marriott Ownership Resorts, Inc., and Wells Fargo Bank, National Association</w:t>
      </w:r>
    </w:p>
    <w:p>
      <w:pPr>
        <w:spacing w:after="0" w:line="1" w:lineRule="exact"/>
        <w:rPr>
          <w:sz w:val="20"/>
          <w:szCs w:val="20"/>
          <w:color w:val="auto"/>
        </w:rPr>
      </w:pPr>
    </w:p>
    <w:p>
      <w:pPr>
        <w:ind w:right="1100"/>
        <w:spacing w:after="0" w:line="216" w:lineRule="auto"/>
        <w:rPr>
          <w:sz w:val="20"/>
          <w:szCs w:val="20"/>
          <w:color w:val="auto"/>
        </w:rPr>
      </w:pPr>
      <w:r>
        <w:rPr>
          <w:rFonts w:ascii="Arial" w:cs="Arial" w:eastAsia="Arial" w:hAnsi="Arial"/>
          <w:sz w:val="18"/>
          <w:szCs w:val="18"/>
          <w:color w:val="auto"/>
        </w:rPr>
        <w:t>Indenture Supplement, dated June 24, 2015, among Marriott Vacations Worldwide Owner Trust 2011-1, Marriott Ownership Resorts, Inc., and Wells Fargo Bank, National Association, Deutsche Bank AG, New York Branch, and the Conduits, Alternate Purchasers, Funding Agents and Non-Conduit Committed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0</wp:posOffset>
            </wp:positionV>
            <wp:extent cx="7098030" cy="3689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ind w:right="1080"/>
        <w:spacing w:after="0" w:line="237" w:lineRule="auto"/>
        <w:rPr>
          <w:sz w:val="20"/>
          <w:szCs w:val="20"/>
          <w:color w:val="auto"/>
        </w:rPr>
      </w:pPr>
      <w:r>
        <w:rPr>
          <w:rFonts w:ascii="Arial" w:cs="Arial" w:eastAsia="Arial" w:hAnsi="Arial"/>
          <w:sz w:val="17"/>
          <w:szCs w:val="17"/>
          <w:color w:val="auto"/>
        </w:rPr>
        <w:t>Second Amended and Restated Sale Agreement, entered into September 15, 2014 and dated as of September 1, 2014, between MORI SPC Series Corp. and Marriott Vacations Worldwide Owner Trust 2011-1</w:t>
      </w:r>
    </w:p>
    <w:p>
      <w:pPr>
        <w:spacing w:after="0" w:line="1" w:lineRule="exact"/>
        <w:rPr>
          <w:sz w:val="20"/>
          <w:szCs w:val="20"/>
          <w:color w:val="auto"/>
        </w:rPr>
      </w:pPr>
    </w:p>
    <w:p>
      <w:pPr>
        <w:ind w:right="960"/>
        <w:spacing w:after="0" w:line="211" w:lineRule="auto"/>
        <w:rPr>
          <w:sz w:val="20"/>
          <w:szCs w:val="20"/>
          <w:color w:val="auto"/>
        </w:rPr>
      </w:pPr>
      <w:r>
        <w:rPr>
          <w:rFonts w:ascii="Arial" w:cs="Arial" w:eastAsia="Arial" w:hAnsi="Arial"/>
          <w:sz w:val="18"/>
          <w:szCs w:val="18"/>
          <w:color w:val="auto"/>
        </w:rPr>
        <w:t>Omnibus Amendment No. 3, dated November 23, 2015,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1270</wp:posOffset>
            </wp:positionV>
            <wp:extent cx="7098030" cy="925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7098030" cy="925830"/>
                    </a:xfrm>
                    <a:prstGeom prst="rect">
                      <a:avLst/>
                    </a:prstGeom>
                    <a:noFill/>
                  </pic:spPr>
                </pic:pic>
              </a:graphicData>
            </a:graphic>
          </wp:anchor>
        </w:drawing>
      </w:r>
    </w:p>
    <w:p>
      <w:pPr>
        <w:ind w:right="1040"/>
        <w:spacing w:after="0" w:line="211" w:lineRule="auto"/>
        <w:rPr>
          <w:sz w:val="20"/>
          <w:szCs w:val="20"/>
          <w:color w:val="auto"/>
        </w:rPr>
      </w:pPr>
      <w:r>
        <w:rPr>
          <w:rFonts w:ascii="Arial" w:cs="Arial" w:eastAsia="Arial" w:hAnsi="Arial"/>
          <w:sz w:val="18"/>
          <w:szCs w:val="18"/>
          <w:color w:val="auto"/>
        </w:rPr>
        <w:t>Omnibus Amendment No. 4, dated May 20, 2016,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2" w:lineRule="exact"/>
        <w:rPr>
          <w:sz w:val="20"/>
          <w:szCs w:val="20"/>
          <w:color w:val="auto"/>
        </w:rPr>
      </w:pPr>
    </w:p>
    <w:p>
      <w:pPr>
        <w:ind w:right="960"/>
        <w:spacing w:after="0" w:line="216" w:lineRule="auto"/>
        <w:rPr>
          <w:sz w:val="20"/>
          <w:szCs w:val="20"/>
          <w:color w:val="auto"/>
        </w:rPr>
      </w:pPr>
      <w:r>
        <w:rPr>
          <w:rFonts w:ascii="Arial" w:cs="Arial" w:eastAsia="Arial" w:hAnsi="Arial"/>
          <w:sz w:val="18"/>
          <w:szCs w:val="18"/>
          <w:color w:val="auto"/>
        </w:rPr>
        <w:t>Indenture Supplement, dated June 16, 2016, by and among Marriott Vacations Worldwide Owner Trust 2011-1, as issuer, Marriott Ownership Resorts, Inc., Wells Fargo Bank, National Association, Deutsche Bank AG, New York Branch, and the Conduits, Alternate Purchasers, Funding Agents and Non-Conduit Committed Purchasers signatory thereto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07"/>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23"/>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2/25/2016</w:t>
            </w:r>
          </w:p>
        </w:tc>
      </w:tr>
      <w:tr>
        <w:trPr>
          <w:trHeight w:val="229"/>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3/21/2012</w:t>
            </w:r>
          </w:p>
        </w:tc>
      </w:tr>
      <w:tr>
        <w:trPr>
          <w:trHeight w:val="23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4/30/2015</w:t>
            </w:r>
          </w:p>
        </w:tc>
      </w:tr>
      <w:tr>
        <w:trPr>
          <w:trHeight w:val="230"/>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11"/>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24"/>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6/13/2013</w:t>
            </w:r>
          </w:p>
        </w:tc>
      </w:tr>
      <w:tr>
        <w:trPr>
          <w:trHeight w:val="311"/>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2/26/2015</w:t>
            </w:r>
          </w:p>
        </w:tc>
      </w:tr>
      <w:tr>
        <w:trPr>
          <w:trHeight w:val="324"/>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6/11/2015</w:t>
            </w:r>
          </w:p>
        </w:tc>
      </w:tr>
      <w:tr>
        <w:trPr>
          <w:trHeight w:val="48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85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7/23/2015</w:t>
            </w:r>
          </w:p>
        </w:tc>
      </w:tr>
      <w:tr>
        <w:trPr>
          <w:trHeight w:val="756"/>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013"/>
        </w:trPr>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11/25/2015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tabs>
          <w:tab w:leader="none" w:pos="1140" w:val="left"/>
          <w:tab w:leader="none" w:pos="21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tabs>
          <w:tab w:leader="none" w:pos="1140" w:val="left"/>
          <w:tab w:leader="none" w:pos="21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7/21/2016</w:t>
      </w:r>
    </w:p>
    <w:p>
      <w:pPr>
        <w:sectPr>
          <w:pgSz w:w="11900" w:h="16838" w:orient="portrait"/>
          <w:cols w:equalWidth="0" w:num="3">
            <w:col w:w="580" w:space="300"/>
            <w:col w:w="6780" w:space="260"/>
            <w:col w:w="3080"/>
          </w:cols>
          <w:pgMar w:left="540" w:top="1098" w:right="359" w:bottom="1440" w:gutter="0" w:footer="0" w:header="0"/>
        </w:sectPr>
      </w:pPr>
    </w:p>
    <w:bookmarkStart w:id="137" w:name="page138"/>
    <w:bookmarkEnd w:id="137"/>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5"/>
          <w:szCs w:val="15"/>
          <w:b w:val="1"/>
          <w:bCs w:val="1"/>
          <w:color w:val="auto"/>
        </w:rPr>
        <w:t>Number</w:t>
      </w:r>
    </w:p>
    <w:p>
      <w:pPr>
        <w:spacing w:after="0" w:line="200" w:lineRule="exact"/>
        <w:rPr>
          <w:sz w:val="20"/>
          <w:szCs w:val="20"/>
          <w:color w:val="auto"/>
        </w:rPr>
      </w:pPr>
    </w:p>
    <w:p>
      <w:pPr>
        <w:spacing w:after="0" w:line="365" w:lineRule="exact"/>
        <w:rPr>
          <w:sz w:val="20"/>
          <w:szCs w:val="20"/>
          <w:color w:val="auto"/>
        </w:rPr>
      </w:pPr>
    </w:p>
    <w:p>
      <w:pPr>
        <w:ind w:left="80"/>
        <w:spacing w:after="0"/>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10.32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10.33</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10.34</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10.35</w:t>
        </w:r>
      </w:hyperlink>
    </w:p>
    <w:p>
      <w:pPr>
        <w:spacing w:after="0" w:line="23" w:lineRule="exact"/>
        <w:rPr>
          <w:sz w:val="20"/>
          <w:szCs w:val="20"/>
          <w:color w:val="auto"/>
        </w:rPr>
      </w:pPr>
    </w:p>
    <w:p>
      <w:pPr>
        <w:ind w:left="80"/>
        <w:spacing w:after="0"/>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10.36</w:t>
        </w:r>
      </w:hyperlink>
    </w:p>
    <w:p>
      <w:pPr>
        <w:spacing w:after="0" w:line="197" w:lineRule="exact"/>
        <w:rPr>
          <w:sz w:val="20"/>
          <w:szCs w:val="20"/>
          <w:color w:val="auto"/>
        </w:rPr>
      </w:pPr>
    </w:p>
    <w:p>
      <w:pPr>
        <w:ind w:left="80"/>
        <w:spacing w:after="0"/>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10.37</w:t>
        </w:r>
      </w:hyperlink>
    </w:p>
    <w:p>
      <w:pPr>
        <w:spacing w:after="0" w:line="200" w:lineRule="exact"/>
        <w:rPr>
          <w:sz w:val="20"/>
          <w:szCs w:val="20"/>
          <w:color w:val="auto"/>
        </w:rPr>
      </w:pPr>
    </w:p>
    <w:p>
      <w:pPr>
        <w:spacing w:after="0" w:line="255" w:lineRule="exact"/>
        <w:rPr>
          <w:sz w:val="20"/>
          <w:szCs w:val="20"/>
          <w:color w:val="auto"/>
        </w:rPr>
      </w:pPr>
    </w:p>
    <w:p>
      <w:pPr>
        <w:ind w:left="80"/>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10.38</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10.39</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10.40</w:t>
        </w:r>
      </w:hyperlink>
    </w:p>
    <w:p>
      <w:pPr>
        <w:spacing w:after="0" w:line="374" w:lineRule="exact"/>
        <w:rPr>
          <w:sz w:val="20"/>
          <w:szCs w:val="20"/>
          <w:color w:val="auto"/>
        </w:rPr>
      </w:pPr>
    </w:p>
    <w:p>
      <w:pPr>
        <w:ind w:left="80"/>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10.41</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10.42</w:t>
        </w:r>
      </w:hyperlink>
    </w:p>
    <w:p>
      <w:pPr>
        <w:spacing w:after="0" w:line="200" w:lineRule="exact"/>
        <w:rPr>
          <w:sz w:val="20"/>
          <w:szCs w:val="20"/>
          <w:color w:val="auto"/>
        </w:rPr>
      </w:pPr>
    </w:p>
    <w:p>
      <w:pPr>
        <w:spacing w:after="0" w:line="349" w:lineRule="exact"/>
        <w:rPr>
          <w:sz w:val="20"/>
          <w:szCs w:val="20"/>
          <w:color w:val="auto"/>
        </w:rPr>
      </w:pPr>
    </w:p>
    <w:p>
      <w:pPr>
        <w:ind w:left="80"/>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10.43</w:t>
        </w:r>
      </w:hyperlink>
    </w:p>
    <w:p>
      <w:pPr>
        <w:spacing w:after="0" w:line="104" w:lineRule="exact"/>
        <w:rPr>
          <w:sz w:val="20"/>
          <w:szCs w:val="20"/>
          <w:color w:val="auto"/>
        </w:rPr>
      </w:pPr>
    </w:p>
    <w:p>
      <w:pPr>
        <w:ind w:left="80"/>
        <w:spacing w:after="0"/>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10.44</w:t>
        </w:r>
      </w:hyperlink>
    </w:p>
    <w:p>
      <w:pPr>
        <w:spacing w:after="0" w:line="198" w:lineRule="exact"/>
        <w:rPr>
          <w:sz w:val="20"/>
          <w:szCs w:val="20"/>
          <w:color w:val="auto"/>
        </w:rPr>
      </w:pPr>
    </w:p>
    <w:p>
      <w:pPr>
        <w:ind w:left="80"/>
        <w:spacing w:after="0"/>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10.45</w:t>
        </w:r>
      </w:hyperlink>
    </w:p>
    <w:p>
      <w:pPr>
        <w:spacing w:after="0" w:line="293" w:lineRule="exact"/>
        <w:rPr>
          <w:sz w:val="20"/>
          <w:szCs w:val="20"/>
          <w:color w:val="auto"/>
        </w:rPr>
      </w:pPr>
    </w:p>
    <w:p>
      <w:pPr>
        <w:ind w:left="80"/>
        <w:spacing w:after="0"/>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10.46</w:t>
        </w:r>
      </w:hyperlink>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040" w:type="dxa"/>
            <w:vAlign w:val="bottom"/>
          </w:tcPr>
          <w:p>
            <w:pPr>
              <w:jc w:val="center"/>
              <w:ind w:left="131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3810</wp:posOffset>
            </wp:positionV>
            <wp:extent cx="7098030" cy="8229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7098030" cy="822960"/>
                    </a:xfrm>
                    <a:prstGeom prst="rect">
                      <a:avLst/>
                    </a:prstGeom>
                    <a:noFill/>
                  </pic:spPr>
                </pic:pic>
              </a:graphicData>
            </a:graphic>
          </wp:anchor>
        </w:drawing>
      </w:r>
    </w:p>
    <w:p>
      <w:pPr>
        <w:ind w:right="1000"/>
        <w:spacing w:after="0" w:line="212" w:lineRule="auto"/>
        <w:rPr>
          <w:sz w:val="20"/>
          <w:szCs w:val="20"/>
          <w:color w:val="auto"/>
        </w:rPr>
      </w:pPr>
      <w:r>
        <w:rPr>
          <w:rFonts w:ascii="Arial" w:cs="Arial" w:eastAsia="Arial" w:hAnsi="Arial"/>
          <w:sz w:val="18"/>
          <w:szCs w:val="18"/>
          <w:color w:val="auto"/>
        </w:rPr>
        <w:t>Omnibus Amendment No. 5, dated March 8, 2017,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ind w:right="1040"/>
        <w:spacing w:after="0" w:line="211" w:lineRule="auto"/>
        <w:rPr>
          <w:sz w:val="20"/>
          <w:szCs w:val="20"/>
          <w:color w:val="auto"/>
        </w:rPr>
      </w:pPr>
      <w:r>
        <w:rPr>
          <w:rFonts w:ascii="Arial" w:cs="Arial" w:eastAsia="Arial" w:hAnsi="Arial"/>
          <w:sz w:val="18"/>
          <w:szCs w:val="18"/>
          <w:color w:val="auto"/>
        </w:rPr>
        <w:t>Omnibus Amendment No. 6, dated August 17, 2017, relating to, among other agreements, the Third Amended and Restated Indenture and the Second Amended and Restated Sale Agreement,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1270</wp:posOffset>
            </wp:positionV>
            <wp:extent cx="709803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Call Option Transaction Confirmation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Amendment Agreement to Warrant Confirmation</w:t>
      </w:r>
    </w:p>
    <w:p>
      <w:pPr>
        <w:spacing w:after="0" w:line="23" w:lineRule="exact"/>
        <w:rPr>
          <w:sz w:val="20"/>
          <w:szCs w:val="20"/>
          <w:color w:val="auto"/>
        </w:rPr>
      </w:pPr>
    </w:p>
    <w:p>
      <w:pPr>
        <w:ind w:right="1300"/>
        <w:spacing w:after="0" w:line="252" w:lineRule="auto"/>
        <w:rPr>
          <w:sz w:val="20"/>
          <w:szCs w:val="20"/>
          <w:color w:val="auto"/>
        </w:rPr>
      </w:pPr>
      <w:r>
        <w:rPr>
          <w:rFonts w:ascii="Arial" w:cs="Arial" w:eastAsia="Arial" w:hAnsi="Arial"/>
          <w:sz w:val="16"/>
          <w:szCs w:val="16"/>
          <w:color w:val="auto"/>
        </w:rPr>
        <w:t>Credit Agreement, dated as of August 31, 2018, among Marriott Vacations Worldwide Corporation, Marriott Ownership Resorts, Inc., the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ind w:right="1000"/>
        <w:spacing w:after="0" w:line="219" w:lineRule="auto"/>
        <w:rPr>
          <w:sz w:val="20"/>
          <w:szCs w:val="20"/>
          <w:color w:val="auto"/>
        </w:rPr>
      </w:pPr>
      <w:r>
        <w:rPr>
          <w:rFonts w:ascii="Arial" w:cs="Arial" w:eastAsia="Arial" w:hAnsi="Arial"/>
          <w:sz w:val="18"/>
          <w:szCs w:val="18"/>
          <w:color w:val="auto"/>
        </w:rPr>
        <w:t>Amendment No. 1 to Credit Agreement, dated as of December 3, 2019, among Marriott Vacations Worldwide Corporation, Marriott Ownership Resorts, Inc., Interval Acquisition Corp., the lenders party thereto and JPMorgan Chase Bank, N.A., as administrative agent</w:t>
      </w:r>
    </w:p>
    <w:p>
      <w:pPr>
        <w:spacing w:after="0" w:line="1" w:lineRule="exact"/>
        <w:rPr>
          <w:sz w:val="20"/>
          <w:szCs w:val="20"/>
          <w:color w:val="auto"/>
        </w:rPr>
      </w:pPr>
    </w:p>
    <w:p>
      <w:pPr>
        <w:ind w:right="1060"/>
        <w:spacing w:after="0" w:line="219" w:lineRule="auto"/>
        <w:rPr>
          <w:sz w:val="20"/>
          <w:szCs w:val="20"/>
          <w:color w:val="auto"/>
        </w:rPr>
      </w:pPr>
      <w:r>
        <w:rPr>
          <w:rFonts w:ascii="Arial" w:cs="Arial" w:eastAsia="Arial" w:hAnsi="Arial"/>
          <w:sz w:val="18"/>
          <w:szCs w:val="18"/>
          <w:color w:val="auto"/>
        </w:rPr>
        <w:t>Waiver to Credit Agreement, dated as of May 14, 2020, by and among Marriott Vacations Worldwide Corporation, Marriott Ownership Resorts, Inc., the Revolving Credit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4800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8"/>
          <w:szCs w:val="18"/>
          <w:color w:val="auto"/>
        </w:rPr>
        <w:t>Amended and Restated Waiver to Credit Agreement, dated as of February 16,</w:t>
      </w:r>
    </w:p>
    <w:p>
      <w:pPr>
        <w:spacing w:after="0" w:line="1" w:lineRule="exact"/>
        <w:rPr>
          <w:sz w:val="20"/>
          <w:szCs w:val="20"/>
          <w:color w:val="auto"/>
        </w:rPr>
      </w:pPr>
    </w:p>
    <w:p>
      <w:pPr>
        <w:ind w:right="260"/>
        <w:spacing w:after="0" w:line="203" w:lineRule="auto"/>
        <w:rPr>
          <w:sz w:val="20"/>
          <w:szCs w:val="20"/>
          <w:color w:val="auto"/>
        </w:rPr>
      </w:pPr>
      <w:r>
        <w:rPr>
          <w:rFonts w:ascii="Arial" w:cs="Arial" w:eastAsia="Arial" w:hAnsi="Arial"/>
          <w:sz w:val="18"/>
          <w:szCs w:val="18"/>
          <w:color w:val="auto"/>
        </w:rPr>
        <w:t>2021, by and among Marriott Vacations Worldwide Corporation, Marriott X Ownership Resorts, Inc., the Revolving Credit Lenders party thereto and JP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Morgan Chase Bank, N.A. as administrative agent</w:t>
      </w:r>
    </w:p>
    <w:p>
      <w:pPr>
        <w:spacing w:after="0" w:line="7" w:lineRule="exact"/>
        <w:rPr>
          <w:sz w:val="20"/>
          <w:szCs w:val="20"/>
          <w:color w:val="auto"/>
        </w:rPr>
      </w:pPr>
    </w:p>
    <w:p>
      <w:pPr>
        <w:ind w:right="1060"/>
        <w:spacing w:after="0" w:line="234" w:lineRule="auto"/>
        <w:rPr>
          <w:sz w:val="20"/>
          <w:szCs w:val="20"/>
          <w:color w:val="auto"/>
        </w:rPr>
      </w:pPr>
      <w:r>
        <w:rPr>
          <w:rFonts w:ascii="Arial" w:cs="Arial" w:eastAsia="Arial" w:hAnsi="Arial"/>
          <w:sz w:val="18"/>
          <w:szCs w:val="18"/>
          <w:color w:val="auto"/>
        </w:rPr>
        <w:t>Joinder Agreement, dated as of September 1, 2018, among Interval Acquisition Corp. and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814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8">
                      <a:extLst>
                        <a:ext uri="{28A0092B-C50C-407E-A947-70E740481C1C}"/>
                      </a:extLst>
                    </a:blip>
                    <a:srcRect/>
                    <a:stretch>
                      <a:fillRect/>
                    </a:stretch>
                  </pic:blipFill>
                  <pic:spPr bwMode="auto">
                    <a:xfrm>
                      <a:off x="0" y="0"/>
                      <a:ext cx="7098030" cy="814705"/>
                    </a:xfrm>
                    <a:prstGeom prst="rect">
                      <a:avLst/>
                    </a:prstGeom>
                    <a:noFill/>
                  </pic:spPr>
                </pic:pic>
              </a:graphicData>
            </a:graphic>
          </wp:anchor>
        </w:drawing>
      </w:r>
    </w:p>
    <w:p>
      <w:pPr>
        <w:ind w:right="1000"/>
        <w:spacing w:after="0" w:line="212" w:lineRule="auto"/>
        <w:rPr>
          <w:sz w:val="20"/>
          <w:szCs w:val="20"/>
          <w:color w:val="auto"/>
        </w:rPr>
      </w:pPr>
      <w:r>
        <w:rPr>
          <w:rFonts w:ascii="Arial" w:cs="Arial" w:eastAsia="Arial" w:hAnsi="Arial"/>
          <w:sz w:val="18"/>
          <w:szCs w:val="18"/>
          <w:color w:val="auto"/>
        </w:rPr>
        <w:t>Omnibus Amendment No. 8, dated August 31, 2018, relating to, among other agreements, the Third Amended and Restated Indenture, by and among Marriott Vacations Worldwide Owner Trust 2011-1, Marriott Ownership Resorts, Inc., Wells Fargo Bank, National Association, MORI SPC Series Corp., Marriott Vacations Worldwide Corporation, the Purchasers signatory thereto, Deutsche Bank AG, New York Branch, Wilmington Trust, National Association, and MVCO Series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14605</wp:posOffset>
            </wp:positionV>
            <wp:extent cx="709803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3" w:lineRule="exact"/>
        <w:rPr>
          <w:sz w:val="20"/>
          <w:szCs w:val="20"/>
          <w:color w:val="auto"/>
        </w:rPr>
      </w:pPr>
    </w:p>
    <w:p>
      <w:pPr>
        <w:ind w:right="1200"/>
        <w:spacing w:after="0" w:line="234" w:lineRule="auto"/>
        <w:rPr>
          <w:sz w:val="20"/>
          <w:szCs w:val="20"/>
          <w:color w:val="auto"/>
        </w:rPr>
      </w:pPr>
      <w:r>
        <w:rPr>
          <w:rFonts w:ascii="Arial" w:cs="Arial" w:eastAsia="Arial" w:hAnsi="Arial"/>
          <w:sz w:val="18"/>
          <w:szCs w:val="18"/>
          <w:color w:val="auto"/>
        </w:rPr>
        <w:t>Interval Leisure Group, Inc. 2013 Stock and Incentive Compensation Plan, as amended*</w:t>
      </w:r>
    </w:p>
    <w:p>
      <w:pPr>
        <w:spacing w:after="0" w:line="1" w:lineRule="exact"/>
        <w:rPr>
          <w:sz w:val="20"/>
          <w:szCs w:val="20"/>
          <w:color w:val="auto"/>
        </w:rPr>
      </w:pPr>
    </w:p>
    <w:p>
      <w:pPr>
        <w:ind w:right="1420"/>
        <w:spacing w:after="0" w:line="264" w:lineRule="auto"/>
        <w:rPr>
          <w:sz w:val="20"/>
          <w:szCs w:val="20"/>
          <w:color w:val="auto"/>
        </w:rPr>
      </w:pPr>
      <w:r>
        <w:rPr>
          <w:rFonts w:ascii="Arial" w:cs="Arial" w:eastAsia="Arial" w:hAnsi="Arial"/>
          <w:sz w:val="16"/>
          <w:szCs w:val="16"/>
          <w:color w:val="auto"/>
        </w:rPr>
        <w:t>Form of Terms and Conditions for Annual RSU Awards under the Interval Leisure Group, Inc. 2013 Stock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0</wp:posOffset>
            </wp:positionV>
            <wp:extent cx="7098030" cy="3683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0">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960"/>
        <w:spacing w:after="0" w:line="224" w:lineRule="auto"/>
        <w:rPr>
          <w:sz w:val="20"/>
          <w:szCs w:val="20"/>
          <w:color w:val="auto"/>
        </w:rPr>
      </w:pPr>
      <w:r>
        <w:rPr>
          <w:rFonts w:ascii="Arial" w:cs="Arial" w:eastAsia="Arial" w:hAnsi="Arial"/>
          <w:sz w:val="18"/>
          <w:szCs w:val="18"/>
          <w:color w:val="auto"/>
        </w:rPr>
        <w:t>Form of Terms and Conditions for Adjusted EBITDA Performance RSU Awards under the Interval Leisure Group, Inc. 2013 Stock and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27940</wp:posOffset>
            </wp:positionV>
            <wp:extent cx="19545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7" w:lineRule="exact"/>
        <w:rPr>
          <w:sz w:val="20"/>
          <w:szCs w:val="20"/>
          <w:color w:val="auto"/>
        </w:rPr>
      </w:pPr>
    </w:p>
    <w:p>
      <w:pPr>
        <w:ind w:left="40"/>
        <w:spacing w:after="0"/>
        <w:tabs>
          <w:tab w:leader="none" w:pos="900" w:val="left"/>
          <w:tab w:leader="none" w:pos="196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1000" w:val="left"/>
          <w:tab w:leader="none" w:pos="19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3/14/2017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8/21/2017</w:t>
            </w:r>
          </w:p>
        </w:tc>
      </w:tr>
      <w:tr>
        <w:trPr>
          <w:trHeight w:val="85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23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23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3/1/2019</w:t>
            </w:r>
          </w:p>
        </w:tc>
      </w:tr>
      <w:tr>
        <w:trPr>
          <w:trHeight w:val="405"/>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r>
        <w:trPr>
          <w:trHeight w:val="662"/>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75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5/15/2020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1000" w:val="left"/>
          <w:tab w:leader="none" w:pos="20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000" w:val="left"/>
          <w:tab w:leader="none" w:pos="19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11/7/2018</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960" w:val="left"/>
          <w:tab w:leader="none" w:pos="2000" w:val="left"/>
        </w:tabs>
        <w:rPr>
          <w:sz w:val="20"/>
          <w:szCs w:val="20"/>
          <w:color w:val="auto"/>
        </w:rPr>
      </w:pPr>
      <w:r>
        <w:rPr>
          <w:rFonts w:ascii="Arial" w:cs="Arial" w:eastAsia="Arial" w:hAnsi="Arial"/>
          <w:sz w:val="18"/>
          <w:szCs w:val="18"/>
          <w:color w:val="auto"/>
        </w:rPr>
        <w:t>S-1</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8/1/2018</w:t>
      </w:r>
    </w:p>
    <w:p>
      <w:pPr>
        <w:spacing w:after="0" w:line="104" w:lineRule="exact"/>
        <w:rPr>
          <w:sz w:val="20"/>
          <w:szCs w:val="20"/>
          <w:color w:val="auto"/>
        </w:rPr>
      </w:pPr>
    </w:p>
    <w:p>
      <w:pPr>
        <w:ind w:left="40"/>
        <w:spacing w:after="0"/>
        <w:tabs>
          <w:tab w:leader="none" w:pos="1000" w:val="left"/>
          <w:tab w:leader="none" w:pos="2000" w:val="left"/>
        </w:tabs>
        <w:rPr>
          <w:sz w:val="20"/>
          <w:szCs w:val="20"/>
          <w:color w:val="auto"/>
        </w:rPr>
      </w:pPr>
      <w:r>
        <w:rPr>
          <w:rFonts w:ascii="Arial" w:cs="Arial" w:eastAsia="Arial" w:hAnsi="Arial"/>
          <w:sz w:val="18"/>
          <w:szCs w:val="18"/>
          <w:color w:val="auto"/>
        </w:rPr>
        <w:t>S-8</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8/5/2016</w:t>
      </w:r>
    </w:p>
    <w:p>
      <w:pPr>
        <w:spacing w:after="0" w:line="198" w:lineRule="exact"/>
        <w:rPr>
          <w:sz w:val="20"/>
          <w:szCs w:val="20"/>
          <w:color w:val="auto"/>
        </w:rPr>
      </w:pPr>
    </w:p>
    <w:p>
      <w:pPr>
        <w:spacing w:after="0"/>
        <w:tabs>
          <w:tab w:leader="none" w:pos="1000" w:val="left"/>
          <w:tab w:leader="none" w:pos="2000" w:val="left"/>
        </w:tabs>
        <w:rPr>
          <w:sz w:val="20"/>
          <w:szCs w:val="20"/>
          <w:color w:val="auto"/>
        </w:rPr>
      </w:pPr>
      <w:r>
        <w:rPr>
          <w:rFonts w:ascii="Arial" w:cs="Arial" w:eastAsia="Arial" w:hAnsi="Arial"/>
          <w:sz w:val="16"/>
          <w:szCs w:val="16"/>
          <w:color w:val="auto"/>
        </w:rPr>
        <w:t>10-Q</w:t>
      </w:r>
      <w:r>
        <w:rPr>
          <w:rFonts w:ascii="Arial" w:cs="Arial" w:eastAsia="Arial" w:hAnsi="Arial"/>
          <w:sz w:val="10"/>
          <w:szCs w:val="10"/>
          <w:color w:val="auto"/>
        </w:rPr>
        <w:t>(2)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5/8/2014</w:t>
      </w:r>
    </w:p>
    <w:p>
      <w:pPr>
        <w:spacing w:after="0" w:line="293" w:lineRule="exact"/>
        <w:rPr>
          <w:sz w:val="20"/>
          <w:szCs w:val="20"/>
          <w:color w:val="auto"/>
        </w:rPr>
      </w:pPr>
    </w:p>
    <w:p>
      <w:pPr>
        <w:spacing w:after="0"/>
        <w:tabs>
          <w:tab w:leader="none" w:pos="1000" w:val="left"/>
          <w:tab w:leader="none" w:pos="2000" w:val="left"/>
        </w:tabs>
        <w:rPr>
          <w:sz w:val="20"/>
          <w:szCs w:val="20"/>
          <w:color w:val="auto"/>
        </w:rPr>
      </w:pPr>
      <w:r>
        <w:rPr>
          <w:rFonts w:ascii="Arial" w:cs="Arial" w:eastAsia="Arial" w:hAnsi="Arial"/>
          <w:sz w:val="16"/>
          <w:szCs w:val="16"/>
          <w:color w:val="auto"/>
        </w:rPr>
        <w:t>10-Q</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5/8/2014</w:t>
      </w:r>
    </w:p>
    <w:p>
      <w:pPr>
        <w:sectPr>
          <w:pgSz w:w="11900" w:h="16838" w:orient="portrait"/>
          <w:cols w:equalWidth="0" w:num="3">
            <w:col w:w="580" w:space="300"/>
            <w:col w:w="6780" w:space="400"/>
            <w:col w:w="2720"/>
          </w:cols>
          <w:pgMar w:left="540" w:top="1098" w:right="5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2000" w:type="dxa"/>
            <w:vAlign w:val="bottom"/>
          </w:tcPr>
          <w:p>
            <w:pPr>
              <w:jc w:val="center"/>
              <w:ind w:right="1339"/>
              <w:spacing w:after="0"/>
              <w:rPr>
                <w:sz w:val="20"/>
                <w:szCs w:val="20"/>
                <w:color w:val="auto"/>
              </w:rPr>
            </w:pPr>
            <w:r>
              <w:rPr>
                <w:rFonts w:ascii="Arial" w:cs="Arial" w:eastAsia="Arial" w:hAnsi="Arial"/>
                <w:sz w:val="16"/>
                <w:szCs w:val="16"/>
                <w:b w:val="1"/>
                <w:bCs w:val="1"/>
                <w:color w:val="auto"/>
                <w:w w:val="93"/>
              </w:rPr>
              <w:t>Exhibit</w:t>
            </w:r>
          </w:p>
        </w:tc>
        <w:tc>
          <w:tcPr>
            <w:tcW w:w="3620" w:type="dxa"/>
            <w:vAlign w:val="bottom"/>
          </w:tcPr>
          <w:p>
            <w:pPr>
              <w:spacing w:after="0"/>
              <w:rPr>
                <w:sz w:val="18"/>
                <w:szCs w:val="18"/>
                <w:color w:val="auto"/>
              </w:rPr>
            </w:pP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6"/>
              </w:rPr>
              <w:t>Filed</w:t>
            </w:r>
          </w:p>
        </w:tc>
        <w:tc>
          <w:tcPr>
            <w:tcW w:w="30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r>
      <w:tr>
        <w:trPr>
          <w:trHeight w:val="204"/>
        </w:trPr>
        <w:tc>
          <w:tcPr>
            <w:tcW w:w="2000" w:type="dxa"/>
            <w:vAlign w:val="bottom"/>
          </w:tcPr>
          <w:p>
            <w:pPr>
              <w:jc w:val="center"/>
              <w:ind w:right="1339"/>
              <w:spacing w:after="0"/>
              <w:rPr>
                <w:sz w:val="20"/>
                <w:szCs w:val="20"/>
                <w:color w:val="auto"/>
              </w:rPr>
            </w:pPr>
            <w:r>
              <w:rPr>
                <w:rFonts w:ascii="Arial" w:cs="Arial" w:eastAsia="Arial" w:hAnsi="Arial"/>
                <w:sz w:val="16"/>
                <w:szCs w:val="16"/>
                <w:b w:val="1"/>
                <w:bCs w:val="1"/>
                <w:color w:val="auto"/>
                <w:w w:val="95"/>
              </w:rPr>
              <w:t>Number</w:t>
            </w:r>
          </w:p>
        </w:tc>
        <w:tc>
          <w:tcPr>
            <w:tcW w:w="3620" w:type="dxa"/>
            <w:vAlign w:val="bottom"/>
          </w:tcPr>
          <w:p>
            <w:pPr>
              <w:ind w:left="1420"/>
              <w:spacing w:after="0"/>
              <w:rPr>
                <w:sz w:val="20"/>
                <w:szCs w:val="20"/>
                <w:color w:val="auto"/>
              </w:rPr>
            </w:pPr>
            <w:r>
              <w:rPr>
                <w:rFonts w:ascii="Arial" w:cs="Arial" w:eastAsia="Arial" w:hAnsi="Arial"/>
                <w:sz w:val="16"/>
                <w:szCs w:val="16"/>
                <w:b w:val="1"/>
                <w:bCs w:val="1"/>
                <w:color w:val="auto"/>
              </w:rPr>
              <w:t>Description</w:t>
            </w:r>
          </w:p>
        </w:tc>
        <w:tc>
          <w:tcPr>
            <w:tcW w:w="2300" w:type="dxa"/>
            <w:vAlign w:val="bottom"/>
          </w:tcPr>
          <w:p>
            <w:pPr>
              <w:jc w:val="center"/>
              <w:ind w:left="1059"/>
              <w:spacing w:after="0"/>
              <w:rPr>
                <w:sz w:val="20"/>
                <w:szCs w:val="20"/>
                <w:color w:val="auto"/>
              </w:rPr>
            </w:pPr>
            <w:r>
              <w:rPr>
                <w:rFonts w:ascii="Arial" w:cs="Arial" w:eastAsia="Arial" w:hAnsi="Arial"/>
                <w:sz w:val="16"/>
                <w:szCs w:val="16"/>
                <w:b w:val="1"/>
                <w:bCs w:val="1"/>
                <w:color w:val="auto"/>
                <w:w w:val="94"/>
              </w:rPr>
              <w:t>Herewith</w:t>
            </w:r>
          </w:p>
        </w:tc>
        <w:tc>
          <w:tcPr>
            <w:tcW w:w="820" w:type="dxa"/>
            <w:vAlign w:val="bottom"/>
          </w:tcPr>
          <w:p>
            <w:pPr>
              <w:ind w:left="180"/>
              <w:spacing w:after="0"/>
              <w:rPr>
                <w:sz w:val="20"/>
                <w:szCs w:val="20"/>
                <w:color w:val="auto"/>
              </w:rPr>
            </w:pPr>
            <w:r>
              <w:rPr>
                <w:rFonts w:ascii="Arial" w:cs="Arial" w:eastAsia="Arial" w:hAnsi="Arial"/>
                <w:sz w:val="16"/>
                <w:szCs w:val="16"/>
                <w:b w:val="1"/>
                <w:bCs w:val="1"/>
                <w:color w:val="auto"/>
              </w:rPr>
              <w:t>Form</w:t>
            </w: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70980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000"/>
          </w:cols>
          <w:pgMar w:left="540" w:top="1098" w:right="359" w:bottom="1440" w:gutter="0" w:footer="0" w:header="0"/>
        </w:sectPr>
      </w:pPr>
    </w:p>
    <w:p>
      <w:pPr>
        <w:spacing w:after="0" w:line="99" w:lineRule="exact"/>
        <w:rPr>
          <w:sz w:val="20"/>
          <w:szCs w:val="20"/>
          <w:color w:val="auto"/>
        </w:rPr>
      </w:pPr>
    </w:p>
    <w:p>
      <w:pPr>
        <w:ind w:left="80"/>
        <w:spacing w:after="0"/>
        <w:rPr>
          <w:rFonts w:ascii="Arial" w:cs="Arial" w:eastAsia="Arial" w:hAnsi="Arial"/>
          <w:sz w:val="15"/>
          <w:szCs w:val="15"/>
          <w:u w:val="single" w:color="auto"/>
          <w:color w:val="0000FF"/>
        </w:rPr>
      </w:pPr>
      <w:hyperlink r:id="rId284">
        <w:r>
          <w:rPr>
            <w:rFonts w:ascii="Arial" w:cs="Arial" w:eastAsia="Arial" w:hAnsi="Arial"/>
            <w:sz w:val="15"/>
            <w:szCs w:val="15"/>
            <w:u w:val="single" w:color="auto"/>
            <w:color w:val="0000FF"/>
          </w:rPr>
          <w:t>10.47</w:t>
        </w:r>
      </w:hyperlink>
    </w:p>
    <w:p>
      <w:pPr>
        <w:spacing w:after="0" w:line="327" w:lineRule="exact"/>
        <w:rPr>
          <w:sz w:val="20"/>
          <w:szCs w:val="20"/>
          <w:color w:val="auto"/>
        </w:rPr>
      </w:pPr>
    </w:p>
    <w:p>
      <w:pPr>
        <w:ind w:left="80"/>
        <w:spacing w:after="0"/>
        <w:rPr>
          <w:rFonts w:ascii="Arial" w:cs="Arial" w:eastAsia="Arial" w:hAnsi="Arial"/>
          <w:sz w:val="15"/>
          <w:szCs w:val="15"/>
          <w:u w:val="single" w:color="auto"/>
          <w:color w:val="0000FF"/>
        </w:rPr>
      </w:pPr>
      <w:hyperlink r:id="rId285">
        <w:r>
          <w:rPr>
            <w:rFonts w:ascii="Arial" w:cs="Arial" w:eastAsia="Arial" w:hAnsi="Arial"/>
            <w:sz w:val="15"/>
            <w:szCs w:val="15"/>
            <w:u w:val="single" w:color="auto"/>
            <w:color w:val="0000FF"/>
          </w:rPr>
          <w:t>10.48</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6">
        <w:r>
          <w:rPr>
            <w:rFonts w:ascii="Arial" w:cs="Arial" w:eastAsia="Arial" w:hAnsi="Arial"/>
            <w:sz w:val="15"/>
            <w:szCs w:val="15"/>
            <w:u w:val="single" w:color="auto"/>
            <w:color w:val="0000FF"/>
          </w:rPr>
          <w:t>10.49</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7">
        <w:r>
          <w:rPr>
            <w:rFonts w:ascii="Arial" w:cs="Arial" w:eastAsia="Arial" w:hAnsi="Arial"/>
            <w:sz w:val="15"/>
            <w:szCs w:val="15"/>
            <w:u w:val="single" w:color="auto"/>
            <w:color w:val="0000FF"/>
          </w:rPr>
          <w:t>10.50</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8">
        <w:r>
          <w:rPr>
            <w:rFonts w:ascii="Arial" w:cs="Arial" w:eastAsia="Arial" w:hAnsi="Arial"/>
            <w:sz w:val="15"/>
            <w:szCs w:val="15"/>
            <w:u w:val="single" w:color="auto"/>
            <w:color w:val="0000FF"/>
          </w:rPr>
          <w:t>10.51</w:t>
        </w:r>
      </w:hyperlink>
    </w:p>
    <w:p>
      <w:pPr>
        <w:spacing w:after="0" w:line="200" w:lineRule="exact"/>
        <w:rPr>
          <w:sz w:val="20"/>
          <w:szCs w:val="20"/>
          <w:color w:val="auto"/>
        </w:rPr>
      </w:pPr>
    </w:p>
    <w:p>
      <w:pPr>
        <w:spacing w:after="0" w:line="208" w:lineRule="exact"/>
        <w:rPr>
          <w:sz w:val="20"/>
          <w:szCs w:val="20"/>
          <w:color w:val="auto"/>
        </w:rPr>
      </w:pPr>
    </w:p>
    <w:p>
      <w:pPr>
        <w:ind w:left="80"/>
        <w:spacing w:after="0"/>
        <w:rPr>
          <w:rFonts w:ascii="Arial" w:cs="Arial" w:eastAsia="Arial" w:hAnsi="Arial"/>
          <w:sz w:val="15"/>
          <w:szCs w:val="15"/>
          <w:u w:val="single" w:color="auto"/>
          <w:color w:val="0000FF"/>
        </w:rPr>
      </w:pPr>
      <w:hyperlink r:id="rId289">
        <w:r>
          <w:rPr>
            <w:rFonts w:ascii="Arial" w:cs="Arial" w:eastAsia="Arial" w:hAnsi="Arial"/>
            <w:sz w:val="15"/>
            <w:szCs w:val="15"/>
            <w:u w:val="single" w:color="auto"/>
            <w:color w:val="0000FF"/>
          </w:rPr>
          <w:t>10.52</w:t>
        </w:r>
      </w:hyperlink>
    </w:p>
    <w:p>
      <w:pPr>
        <w:spacing w:after="0" w:line="200" w:lineRule="exact"/>
        <w:rPr>
          <w:sz w:val="20"/>
          <w:szCs w:val="20"/>
          <w:color w:val="auto"/>
        </w:rPr>
      </w:pPr>
    </w:p>
    <w:p>
      <w:pPr>
        <w:spacing w:after="0" w:line="384" w:lineRule="exact"/>
        <w:rPr>
          <w:sz w:val="20"/>
          <w:szCs w:val="20"/>
          <w:color w:val="auto"/>
        </w:rPr>
      </w:pPr>
    </w:p>
    <w:p>
      <w:pPr>
        <w:ind w:left="80"/>
        <w:spacing w:after="0"/>
        <w:rPr>
          <w:rFonts w:ascii="Arial" w:cs="Arial" w:eastAsia="Arial" w:hAnsi="Arial"/>
          <w:sz w:val="15"/>
          <w:szCs w:val="15"/>
          <w:u w:val="single" w:color="auto"/>
          <w:color w:val="0000FF"/>
        </w:rPr>
      </w:pPr>
      <w:hyperlink r:id="rId290">
        <w:r>
          <w:rPr>
            <w:rFonts w:ascii="Arial" w:cs="Arial" w:eastAsia="Arial" w:hAnsi="Arial"/>
            <w:sz w:val="15"/>
            <w:szCs w:val="15"/>
            <w:u w:val="single" w:color="auto"/>
            <w:color w:val="0000FF"/>
          </w:rPr>
          <w:t>10.53</w:t>
        </w:r>
      </w:hyperlink>
    </w:p>
    <w:p>
      <w:pPr>
        <w:spacing w:after="0" w:line="200" w:lineRule="exact"/>
        <w:rPr>
          <w:sz w:val="20"/>
          <w:szCs w:val="20"/>
          <w:color w:val="auto"/>
        </w:rPr>
      </w:pPr>
    </w:p>
    <w:p>
      <w:pPr>
        <w:spacing w:after="0" w:line="289" w:lineRule="exact"/>
        <w:rPr>
          <w:sz w:val="20"/>
          <w:szCs w:val="20"/>
          <w:color w:val="auto"/>
        </w:rPr>
      </w:pPr>
    </w:p>
    <w:p>
      <w:pPr>
        <w:ind w:left="80"/>
        <w:spacing w:after="0"/>
        <w:rPr>
          <w:rFonts w:ascii="Arial" w:cs="Arial" w:eastAsia="Arial" w:hAnsi="Arial"/>
          <w:sz w:val="15"/>
          <w:szCs w:val="15"/>
          <w:u w:val="single" w:color="auto"/>
          <w:color w:val="0000FF"/>
        </w:rPr>
      </w:pPr>
      <w:hyperlink r:id="rId291">
        <w:r>
          <w:rPr>
            <w:rFonts w:ascii="Arial" w:cs="Arial" w:eastAsia="Arial" w:hAnsi="Arial"/>
            <w:sz w:val="15"/>
            <w:szCs w:val="15"/>
            <w:u w:val="single" w:color="auto"/>
            <w:color w:val="0000FF"/>
          </w:rPr>
          <w:t>10.54</w:t>
        </w:r>
      </w:hyperlink>
    </w:p>
    <w:p>
      <w:pPr>
        <w:spacing w:after="0" w:line="233" w:lineRule="exact"/>
        <w:rPr>
          <w:sz w:val="20"/>
          <w:szCs w:val="20"/>
          <w:color w:val="auto"/>
        </w:rPr>
      </w:pPr>
    </w:p>
    <w:p>
      <w:pPr>
        <w:ind w:left="80"/>
        <w:spacing w:after="0"/>
        <w:rPr>
          <w:rFonts w:ascii="Arial" w:cs="Arial" w:eastAsia="Arial" w:hAnsi="Arial"/>
          <w:sz w:val="15"/>
          <w:szCs w:val="15"/>
          <w:u w:val="single" w:color="auto"/>
          <w:color w:val="0000FF"/>
        </w:rPr>
      </w:pPr>
      <w:hyperlink r:id="rId292">
        <w:r>
          <w:rPr>
            <w:rFonts w:ascii="Arial" w:cs="Arial" w:eastAsia="Arial" w:hAnsi="Arial"/>
            <w:sz w:val="15"/>
            <w:szCs w:val="15"/>
            <w:u w:val="single" w:color="auto"/>
            <w:color w:val="0000FF"/>
          </w:rPr>
          <w:t>10.55</w:t>
        </w:r>
      </w:hyperlink>
    </w:p>
    <w:p>
      <w:pPr>
        <w:spacing w:after="0" w:line="327" w:lineRule="exact"/>
        <w:rPr>
          <w:sz w:val="20"/>
          <w:szCs w:val="20"/>
          <w:color w:val="auto"/>
        </w:rPr>
      </w:pPr>
    </w:p>
    <w:p>
      <w:pPr>
        <w:ind w:left="80"/>
        <w:spacing w:after="0"/>
        <w:rPr>
          <w:rFonts w:ascii="Arial" w:cs="Arial" w:eastAsia="Arial" w:hAnsi="Arial"/>
          <w:sz w:val="15"/>
          <w:szCs w:val="15"/>
          <w:u w:val="single" w:color="auto"/>
          <w:color w:val="0000FF"/>
        </w:rPr>
      </w:pPr>
      <w:hyperlink r:id="rId293">
        <w:r>
          <w:rPr>
            <w:rFonts w:ascii="Arial" w:cs="Arial" w:eastAsia="Arial" w:hAnsi="Arial"/>
            <w:sz w:val="15"/>
            <w:szCs w:val="15"/>
            <w:u w:val="single" w:color="auto"/>
            <w:color w:val="0000FF"/>
          </w:rPr>
          <w:t>10.56</w:t>
        </w:r>
      </w:hyperlink>
    </w:p>
    <w:p>
      <w:pPr>
        <w:spacing w:after="0" w:line="20" w:lineRule="exact"/>
        <w:rPr>
          <w:sz w:val="20"/>
          <w:szCs w:val="20"/>
          <w:color w:val="auto"/>
        </w:rPr>
      </w:pPr>
      <w:r>
        <w:rPr>
          <w:sz w:val="20"/>
          <w:szCs w:val="20"/>
          <w:color w:val="auto"/>
        </w:rPr>
        <w:br w:type="column"/>
      </w:r>
    </w:p>
    <w:p>
      <w:pPr>
        <w:ind w:right="680"/>
        <w:spacing w:after="0" w:line="264" w:lineRule="auto"/>
        <w:rPr>
          <w:sz w:val="20"/>
          <w:szCs w:val="20"/>
          <w:color w:val="auto"/>
        </w:rPr>
      </w:pPr>
      <w:r>
        <w:rPr>
          <w:rFonts w:ascii="Arial" w:cs="Arial" w:eastAsia="Arial" w:hAnsi="Arial"/>
          <w:sz w:val="16"/>
          <w:szCs w:val="16"/>
          <w:color w:val="auto"/>
        </w:rPr>
        <w:t>Form of Terms and Conditions for TSR-Based Performance RSU Awards under the Interval Leisure Group, Inc. 2013 Stock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3689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4">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jc w:val="both"/>
        <w:ind w:right="860"/>
        <w:spacing w:after="0" w:line="224" w:lineRule="auto"/>
        <w:rPr>
          <w:sz w:val="20"/>
          <w:szCs w:val="20"/>
          <w:color w:val="auto"/>
        </w:rPr>
      </w:pPr>
      <w:r>
        <w:rPr>
          <w:rFonts w:ascii="Arial" w:cs="Arial" w:eastAsia="Arial" w:hAnsi="Arial"/>
          <w:sz w:val="18"/>
          <w:szCs w:val="18"/>
          <w:color w:val="auto"/>
        </w:rPr>
        <w:t>Employee Matters Agreement, dated as of October 27, 2015 among Interval Leisure Group, Inc., Starwood Hotels &amp; Resorts Worldwide, Inc. and Vistana Signature Experiences, Inc., as amended</w:t>
      </w:r>
    </w:p>
    <w:p>
      <w:pPr>
        <w:spacing w:after="0" w:line="1" w:lineRule="exact"/>
        <w:rPr>
          <w:sz w:val="20"/>
          <w:szCs w:val="20"/>
          <w:color w:val="auto"/>
        </w:rPr>
      </w:pPr>
    </w:p>
    <w:p>
      <w:pPr>
        <w:ind w:right="620"/>
        <w:spacing w:after="0" w:line="224" w:lineRule="auto"/>
        <w:rPr>
          <w:sz w:val="20"/>
          <w:szCs w:val="20"/>
          <w:color w:val="auto"/>
        </w:rPr>
      </w:pPr>
      <w:r>
        <w:rPr>
          <w:rFonts w:ascii="Arial" w:cs="Arial" w:eastAsia="Arial" w:hAnsi="Arial"/>
          <w:sz w:val="18"/>
          <w:szCs w:val="18"/>
          <w:color w:val="auto"/>
        </w:rPr>
        <w:t>License, Services and Development Agreement, dated as of May 11, 2016, among Interval Leisure Group, Inc., Starwood Hotels &amp; Resorts Worldwide, Inc. and Vistana Signature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3689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5">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ind w:right="720"/>
        <w:spacing w:after="0" w:line="224" w:lineRule="auto"/>
        <w:rPr>
          <w:sz w:val="20"/>
          <w:szCs w:val="20"/>
          <w:color w:val="auto"/>
        </w:rPr>
      </w:pPr>
      <w:r>
        <w:rPr>
          <w:rFonts w:ascii="Arial" w:cs="Arial" w:eastAsia="Arial" w:hAnsi="Arial"/>
          <w:sz w:val="18"/>
          <w:szCs w:val="18"/>
          <w:color w:val="auto"/>
        </w:rPr>
        <w:t>Tax Matters Agreement, dated as of May 11, 2016, among Interval Leisure Group, Inc., Starwood Hotels &amp; Resorts Worldwide, Inc. and Vistana Signature Experiences, Inc.</w:t>
      </w:r>
    </w:p>
    <w:p>
      <w:pPr>
        <w:spacing w:after="0" w:line="1" w:lineRule="exact"/>
        <w:rPr>
          <w:sz w:val="20"/>
          <w:szCs w:val="20"/>
          <w:color w:val="auto"/>
        </w:rPr>
      </w:pPr>
    </w:p>
    <w:p>
      <w:pPr>
        <w:ind w:right="820"/>
        <w:spacing w:after="0" w:line="224" w:lineRule="auto"/>
        <w:rPr>
          <w:sz w:val="20"/>
          <w:szCs w:val="20"/>
          <w:color w:val="auto"/>
        </w:rPr>
      </w:pPr>
      <w:r>
        <w:rPr>
          <w:rFonts w:ascii="Arial" w:cs="Arial" w:eastAsia="Arial" w:hAnsi="Arial"/>
          <w:sz w:val="18"/>
          <w:szCs w:val="18"/>
          <w:color w:val="auto"/>
        </w:rPr>
        <w:t>Starwood Preferred Guest Affiliation Agreement, dated as of May 11, 2016, among Starwood Hotels &amp; Resorts Worldwide, Inc., Preferred Guest, Inc. and Vistana Signature Experiences,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368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6">
                      <a:extLst>
                        <a:ext uri="{28A0092B-C50C-407E-A947-70E740481C1C}"/>
                      </a:extLst>
                    </a:blip>
                    <a:srcRect/>
                    <a:stretch>
                      <a:fillRect/>
                    </a:stretch>
                  </pic:blipFill>
                  <pic:spPr bwMode="auto">
                    <a:xfrm>
                      <a:off x="0" y="0"/>
                      <a:ext cx="7098030" cy="368300"/>
                    </a:xfrm>
                    <a:prstGeom prst="rect">
                      <a:avLst/>
                    </a:prstGeom>
                    <a:noFill/>
                  </pic:spPr>
                </pic:pic>
              </a:graphicData>
            </a:graphic>
          </wp:anchor>
        </w:drawing>
      </w:r>
    </w:p>
    <w:p>
      <w:pPr>
        <w:ind w:right="940"/>
        <w:spacing w:after="0" w:line="252" w:lineRule="auto"/>
        <w:rPr>
          <w:sz w:val="20"/>
          <w:szCs w:val="20"/>
          <w:color w:val="auto"/>
        </w:rPr>
      </w:pPr>
      <w:r>
        <w:rPr>
          <w:rFonts w:ascii="Arial" w:cs="Arial" w:eastAsia="Arial" w:hAnsi="Arial"/>
          <w:sz w:val="16"/>
          <w:szCs w:val="16"/>
          <w:color w:val="auto"/>
        </w:rPr>
        <w:t>Termination of Noncompetition Agreement, effective September 1, 2018, between Starwood Hotels &amp; Resorts Worldwide, LLC (formerly Starwood Hotels &amp; Resorts Worldwide, Inc.) and Vistana Signatures Experiences, Inc.</w:t>
      </w:r>
    </w:p>
    <w:p>
      <w:pPr>
        <w:spacing w:after="0" w:line="1" w:lineRule="exact"/>
        <w:rPr>
          <w:sz w:val="20"/>
          <w:szCs w:val="20"/>
          <w:color w:val="auto"/>
        </w:rPr>
      </w:pPr>
    </w:p>
    <w:p>
      <w:pPr>
        <w:ind w:right="820"/>
        <w:spacing w:after="0" w:line="216" w:lineRule="auto"/>
        <w:rPr>
          <w:sz w:val="20"/>
          <w:szCs w:val="20"/>
          <w:color w:val="auto"/>
        </w:rPr>
      </w:pPr>
      <w:r>
        <w:rPr>
          <w:rFonts w:ascii="Arial" w:cs="Arial" w:eastAsia="Arial" w:hAnsi="Arial"/>
          <w:sz w:val="18"/>
          <w:szCs w:val="18"/>
          <w:color w:val="auto"/>
        </w:rPr>
        <w:t>Letter of Agreement, effective September 1, 2018, among Marriott Vacations Worldwide Corporation, Marriott Ownership Resorts, Inc., Vistana Signatures Experiences, Inc., ILG, LLC, Marriott International, Inc., Marriott Worldwide Corporation, Marriott Rewards, LLC and Starwood Hotels &amp; Resorts Worldwide,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0</wp:posOffset>
            </wp:positionV>
            <wp:extent cx="709803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7">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right="720"/>
        <w:spacing w:after="0" w:line="234" w:lineRule="auto"/>
        <w:rPr>
          <w:sz w:val="20"/>
          <w:szCs w:val="20"/>
          <w:color w:val="auto"/>
        </w:rPr>
      </w:pPr>
      <w:r>
        <w:rPr>
          <w:rFonts w:ascii="Arial" w:cs="Arial" w:eastAsia="Arial" w:hAnsi="Arial"/>
          <w:sz w:val="18"/>
          <w:szCs w:val="18"/>
          <w:color w:val="auto"/>
        </w:rPr>
        <w:t>Amendment No. 2 to the Interval Leisure Group, Inc. 2013 Stock and Incentive Compensation Plan, dated February 25, 2018*</w:t>
      </w:r>
    </w:p>
    <w:p>
      <w:pPr>
        <w:spacing w:after="0" w:line="1"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Amended and Restated Employment Agreement between ILG, Inc. and Jeanette E. Marbert, dated as of March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635</wp:posOffset>
            </wp:positionV>
            <wp:extent cx="7098030" cy="3689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8">
                      <a:extLst>
                        <a:ext uri="{28A0092B-C50C-407E-A947-70E740481C1C}"/>
                      </a:extLst>
                    </a:blip>
                    <a:srcRect/>
                    <a:stretch>
                      <a:fillRect/>
                    </a:stretch>
                  </pic:blipFill>
                  <pic:spPr bwMode="auto">
                    <a:xfrm>
                      <a:off x="0" y="0"/>
                      <a:ext cx="7098030" cy="368935"/>
                    </a:xfrm>
                    <a:prstGeom prst="rect">
                      <a:avLst/>
                    </a:prstGeom>
                    <a:noFill/>
                  </pic:spPr>
                </pic:pic>
              </a:graphicData>
            </a:graphic>
          </wp:anchor>
        </w:drawing>
      </w:r>
    </w:p>
    <w:p>
      <w:pPr>
        <w:ind w:right="1040"/>
        <w:spacing w:after="0" w:line="224" w:lineRule="auto"/>
        <w:rPr>
          <w:sz w:val="20"/>
          <w:szCs w:val="20"/>
          <w:color w:val="auto"/>
        </w:rPr>
      </w:pPr>
      <w:r>
        <w:rPr>
          <w:rFonts w:ascii="Arial" w:cs="Arial" w:eastAsia="Arial" w:hAnsi="Arial"/>
          <w:sz w:val="18"/>
          <w:szCs w:val="18"/>
          <w:color w:val="auto"/>
        </w:rPr>
        <w:t>Amendment dated March 28, 2018 to Amended and Restated Employment Agreement between ILG, Inc. and Jeanette E. Marbert*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3"/>
        </w:trPr>
        <w:tc>
          <w:tcPr>
            <w:tcW w:w="760" w:type="dxa"/>
            <w:vAlign w:val="bottom"/>
          </w:tcPr>
          <w:p>
            <w:pPr>
              <w:jc w:val="center"/>
              <w:ind w:right="171"/>
              <w:spacing w:after="0"/>
              <w:rPr>
                <w:sz w:val="20"/>
                <w:szCs w:val="20"/>
                <w:color w:val="auto"/>
              </w:rPr>
            </w:pPr>
            <w:r>
              <w:rPr>
                <w:rFonts w:ascii="Arial" w:cs="Arial" w:eastAsia="Arial" w:hAnsi="Arial"/>
                <w:sz w:val="16"/>
                <w:szCs w:val="16"/>
                <w:color w:val="auto"/>
                <w:w w:val="87"/>
              </w:rPr>
              <w:t>10-Q</w:t>
            </w:r>
            <w:r>
              <w:rPr>
                <w:rFonts w:ascii="Arial" w:cs="Arial" w:eastAsia="Arial" w:hAnsi="Arial"/>
                <w:sz w:val="21"/>
                <w:szCs w:val="21"/>
                <w:color w:val="auto"/>
                <w:w w:val="87"/>
                <w:vertAlign w:val="superscript"/>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5/8/2014</w:t>
            </w:r>
          </w:p>
        </w:tc>
      </w:tr>
      <w:tr>
        <w:trPr>
          <w:trHeight w:val="499"/>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88"/>
              </w:rPr>
              <w:t>8-K</w:t>
            </w:r>
            <w:r>
              <w:rPr>
                <w:rFonts w:ascii="Arial" w:cs="Arial" w:eastAsia="Arial" w:hAnsi="Arial"/>
                <w:sz w:val="21"/>
                <w:szCs w:val="21"/>
                <w:color w:val="auto"/>
                <w:w w:val="88"/>
                <w:vertAlign w:val="superscript"/>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10.6</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5/12/2016</w:t>
            </w:r>
          </w:p>
        </w:tc>
      </w:tr>
      <w:tr>
        <w:trPr>
          <w:trHeight w:val="518"/>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99"/>
              </w:rPr>
              <w:t>8-K</w:t>
            </w:r>
            <w:r>
              <w:rPr>
                <w:rFonts w:ascii="Arial" w:cs="Arial" w:eastAsia="Arial" w:hAnsi="Arial"/>
                <w:sz w:val="10"/>
                <w:szCs w:val="10"/>
                <w:color w:val="auto"/>
                <w:w w:val="99"/>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5/12/2016</w:t>
            </w:r>
          </w:p>
        </w:tc>
      </w:tr>
      <w:tr>
        <w:trPr>
          <w:trHeight w:val="581"/>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99"/>
              </w:rPr>
              <w:t>8-K</w:t>
            </w:r>
            <w:r>
              <w:rPr>
                <w:rFonts w:ascii="Arial" w:cs="Arial" w:eastAsia="Arial" w:hAnsi="Arial"/>
                <w:sz w:val="10"/>
                <w:szCs w:val="10"/>
                <w:color w:val="auto"/>
                <w:w w:val="99"/>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5/12/2016</w:t>
            </w:r>
          </w:p>
        </w:tc>
      </w:tr>
      <w:tr>
        <w:trPr>
          <w:trHeight w:val="580"/>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99"/>
              </w:rPr>
              <w:t>8-K</w:t>
            </w:r>
            <w:r>
              <w:rPr>
                <w:rFonts w:ascii="Arial" w:cs="Arial" w:eastAsia="Arial" w:hAnsi="Arial"/>
                <w:sz w:val="10"/>
                <w:szCs w:val="10"/>
                <w:color w:val="auto"/>
                <w:w w:val="99"/>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5/12/2016</w:t>
            </w:r>
          </w:p>
        </w:tc>
      </w:tr>
      <w:tr>
        <w:trPr>
          <w:trHeight w:val="581"/>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9/20/2018</w:t>
            </w:r>
          </w:p>
        </w:tc>
      </w:tr>
      <w:tr>
        <w:trPr>
          <w:trHeight w:val="756"/>
        </w:trPr>
        <w:tc>
          <w:tcPr>
            <w:tcW w:w="760" w:type="dxa"/>
            <w:vAlign w:val="bottom"/>
          </w:tcPr>
          <w:p>
            <w:pPr>
              <w:jc w:val="center"/>
              <w:ind w:right="191"/>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9/20/2018</w:t>
            </w:r>
          </w:p>
        </w:tc>
      </w:tr>
      <w:tr>
        <w:trPr>
          <w:trHeight w:val="662"/>
        </w:trPr>
        <w:tc>
          <w:tcPr>
            <w:tcW w:w="760" w:type="dxa"/>
            <w:vAlign w:val="bottom"/>
          </w:tcPr>
          <w:p>
            <w:pPr>
              <w:jc w:val="center"/>
              <w:ind w:right="171"/>
              <w:spacing w:after="0"/>
              <w:rPr>
                <w:sz w:val="20"/>
                <w:szCs w:val="20"/>
                <w:color w:val="auto"/>
              </w:rPr>
            </w:pPr>
            <w:r>
              <w:rPr>
                <w:rFonts w:ascii="Arial" w:cs="Arial" w:eastAsia="Arial" w:hAnsi="Arial"/>
                <w:sz w:val="18"/>
                <w:szCs w:val="18"/>
                <w:color w:val="auto"/>
                <w:w w:val="95"/>
              </w:rPr>
              <w:t>10-Q</w:t>
            </w:r>
            <w:r>
              <w:rPr>
                <w:rFonts w:ascii="Arial" w:cs="Arial" w:eastAsia="Arial" w:hAnsi="Arial"/>
                <w:sz w:val="10"/>
                <w:szCs w:val="10"/>
                <w:color w:val="auto"/>
                <w:w w:val="95"/>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405"/>
        </w:trPr>
        <w:tc>
          <w:tcPr>
            <w:tcW w:w="760" w:type="dxa"/>
            <w:vAlign w:val="bottom"/>
          </w:tcPr>
          <w:p>
            <w:pPr>
              <w:jc w:val="center"/>
              <w:ind w:right="171"/>
              <w:spacing w:after="0"/>
              <w:rPr>
                <w:sz w:val="20"/>
                <w:szCs w:val="20"/>
                <w:color w:val="auto"/>
              </w:rPr>
            </w:pPr>
            <w:r>
              <w:rPr>
                <w:rFonts w:ascii="Arial" w:cs="Arial" w:eastAsia="Arial" w:hAnsi="Arial"/>
                <w:sz w:val="18"/>
                <w:szCs w:val="18"/>
                <w:color w:val="auto"/>
                <w:w w:val="95"/>
              </w:rPr>
              <w:t>10-Q</w:t>
            </w:r>
            <w:r>
              <w:rPr>
                <w:rFonts w:ascii="Arial" w:cs="Arial" w:eastAsia="Arial" w:hAnsi="Arial"/>
                <w:sz w:val="10"/>
                <w:szCs w:val="10"/>
                <w:color w:val="auto"/>
                <w:w w:val="95"/>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5/5/2017</w:t>
            </w:r>
          </w:p>
        </w:tc>
      </w:tr>
      <w:tr>
        <w:trPr>
          <w:trHeight w:val="499"/>
        </w:trPr>
        <w:tc>
          <w:tcPr>
            <w:tcW w:w="760" w:type="dxa"/>
            <w:vAlign w:val="bottom"/>
          </w:tcPr>
          <w:p>
            <w:pPr>
              <w:jc w:val="center"/>
              <w:ind w:right="171"/>
              <w:spacing w:after="0"/>
              <w:rPr>
                <w:sz w:val="20"/>
                <w:szCs w:val="20"/>
                <w:color w:val="auto"/>
              </w:rPr>
            </w:pPr>
            <w:r>
              <w:rPr>
                <w:rFonts w:ascii="Arial" w:cs="Arial" w:eastAsia="Arial" w:hAnsi="Arial"/>
                <w:sz w:val="18"/>
                <w:szCs w:val="18"/>
                <w:color w:val="auto"/>
                <w:w w:val="95"/>
              </w:rPr>
              <w:t>10-Q</w:t>
            </w:r>
            <w:r>
              <w:rPr>
                <w:rFonts w:ascii="Arial" w:cs="Arial" w:eastAsia="Arial" w:hAnsi="Arial"/>
                <w:sz w:val="10"/>
                <w:szCs w:val="10"/>
                <w:color w:val="auto"/>
                <w:w w:val="95"/>
              </w:rPr>
              <w:t>(2)</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bl>
    <w:p>
      <w:pPr>
        <w:spacing w:after="0" w:line="175" w:lineRule="exact"/>
        <w:rPr>
          <w:sz w:val="20"/>
          <w:szCs w:val="20"/>
          <w:color w:val="auto"/>
        </w:rPr>
      </w:pPr>
    </w:p>
    <w:p>
      <w:pPr>
        <w:sectPr>
          <w:pgSz w:w="11900" w:h="16838" w:orient="portrait"/>
          <w:cols w:equalWidth="0" w:num="3">
            <w:col w:w="480" w:space="400"/>
            <w:col w:w="6440" w:space="720"/>
            <w:col w:w="2960"/>
          </w:cols>
          <w:pgMar w:left="540" w:top="1098" w:right="359" w:bottom="1440" w:gutter="0" w:footer="0" w:header="0"/>
          <w:type w:val="continuous"/>
        </w:sectPr>
      </w:pPr>
    </w:p>
    <w:tbl>
      <w:tblPr>
        <w:tblLayout w:type="fixed"/>
        <w:tblInd w:w="80" w:type="dxa"/>
        <w:tblCellMar>
          <w:top w:w="0" w:type="dxa"/>
          <w:left w:w="0" w:type="dxa"/>
          <w:bottom w:w="0" w:type="dxa"/>
          <w:right w:w="0" w:type="dxa"/>
        </w:tblCellMar>
      </w:tblPr>
      <w:tr>
        <w:trPr>
          <w:trHeight w:val="229"/>
        </w:trPr>
        <w:tc>
          <w:tcPr>
            <w:tcW w:w="600" w:type="dxa"/>
            <w:vAlign w:val="bottom"/>
          </w:tcPr>
          <w:p>
            <w:pPr>
              <w:jc w:val="center"/>
              <w:ind w:right="110"/>
              <w:spacing w:after="0"/>
              <w:rPr>
                <w:rFonts w:ascii="Arial" w:cs="Arial" w:eastAsia="Arial" w:hAnsi="Arial"/>
                <w:sz w:val="18"/>
                <w:szCs w:val="18"/>
                <w:u w:val="single" w:color="auto"/>
                <w:color w:val="0000FF"/>
                <w:w w:val="88"/>
              </w:rPr>
            </w:pPr>
            <w:hyperlink r:id="rId299">
              <w:r>
                <w:rPr>
                  <w:rFonts w:ascii="Arial" w:cs="Arial" w:eastAsia="Arial" w:hAnsi="Arial"/>
                  <w:sz w:val="18"/>
                  <w:szCs w:val="18"/>
                  <w:u w:val="single" w:color="auto"/>
                  <w:color w:val="0000FF"/>
                  <w:w w:val="88"/>
                </w:rPr>
                <w:t>10.57</w:t>
              </w:r>
            </w:hyperlink>
          </w:p>
        </w:tc>
        <w:tc>
          <w:tcPr>
            <w:tcW w:w="5520" w:type="dxa"/>
            <w:vAlign w:val="bottom"/>
          </w:tcPr>
          <w:p>
            <w:pPr>
              <w:ind w:left="200"/>
              <w:spacing w:after="0"/>
              <w:rPr>
                <w:sz w:val="20"/>
                <w:szCs w:val="20"/>
                <w:color w:val="auto"/>
              </w:rPr>
            </w:pPr>
            <w:r>
              <w:rPr>
                <w:rFonts w:ascii="Arial" w:cs="Arial" w:eastAsia="Arial" w:hAnsi="Arial"/>
                <w:sz w:val="18"/>
                <w:szCs w:val="18"/>
                <w:color w:val="auto"/>
                <w:w w:val="94"/>
              </w:rPr>
              <w:t>Marriott Vacations Worldwide Corporation 2020 Equity Incentive Plan*</w:t>
            </w:r>
          </w:p>
        </w:tc>
        <w:tc>
          <w:tcPr>
            <w:tcW w:w="0" w:type="dxa"/>
            <w:vAlign w:val="bottom"/>
          </w:tcPr>
          <w:p>
            <w:pPr>
              <w:spacing w:after="0"/>
              <w:rPr>
                <w:sz w:val="1"/>
                <w:szCs w:val="1"/>
                <w:color w:val="auto"/>
              </w:rPr>
            </w:pPr>
          </w:p>
        </w:tc>
      </w:tr>
      <w:tr>
        <w:trPr>
          <w:trHeight w:val="229"/>
        </w:trPr>
        <w:tc>
          <w:tcPr>
            <w:tcW w:w="600" w:type="dxa"/>
            <w:vAlign w:val="bottom"/>
          </w:tcPr>
          <w:p>
            <w:pPr>
              <w:jc w:val="center"/>
              <w:ind w:right="110"/>
              <w:spacing w:after="0"/>
              <w:rPr>
                <w:rFonts w:ascii="Arial" w:cs="Arial" w:eastAsia="Arial" w:hAnsi="Arial"/>
                <w:sz w:val="18"/>
                <w:szCs w:val="18"/>
                <w:u w:val="single" w:color="auto"/>
                <w:color w:val="0000FF"/>
                <w:w w:val="88"/>
              </w:rPr>
            </w:pPr>
            <w:hyperlink r:id="rId300">
              <w:r>
                <w:rPr>
                  <w:rFonts w:ascii="Arial" w:cs="Arial" w:eastAsia="Arial" w:hAnsi="Arial"/>
                  <w:sz w:val="18"/>
                  <w:szCs w:val="18"/>
                  <w:u w:val="single" w:color="auto"/>
                  <w:color w:val="0000FF"/>
                  <w:w w:val="88"/>
                </w:rPr>
                <w:t>10.58</w:t>
              </w:r>
            </w:hyperlink>
          </w:p>
        </w:tc>
        <w:tc>
          <w:tcPr>
            <w:tcW w:w="5520" w:type="dxa"/>
            <w:vAlign w:val="bottom"/>
          </w:tcPr>
          <w:p>
            <w:pPr>
              <w:ind w:left="200"/>
              <w:spacing w:after="0"/>
              <w:rPr>
                <w:sz w:val="20"/>
                <w:szCs w:val="20"/>
                <w:color w:val="auto"/>
              </w:rPr>
            </w:pPr>
            <w:r>
              <w:rPr>
                <w:rFonts w:ascii="Arial" w:cs="Arial" w:eastAsia="Arial" w:hAnsi="Arial"/>
                <w:sz w:val="18"/>
                <w:szCs w:val="18"/>
                <w:color w:val="auto"/>
              </w:rPr>
              <w:t>Form of Call Option Transaction Confirmation</w:t>
            </w:r>
          </w:p>
        </w:tc>
        <w:tc>
          <w:tcPr>
            <w:tcW w:w="0" w:type="dxa"/>
            <w:vAlign w:val="bottom"/>
          </w:tcPr>
          <w:p>
            <w:pPr>
              <w:spacing w:after="0"/>
              <w:rPr>
                <w:sz w:val="1"/>
                <w:szCs w:val="1"/>
                <w:color w:val="auto"/>
              </w:rPr>
            </w:pPr>
          </w:p>
        </w:tc>
      </w:tr>
      <w:tr>
        <w:trPr>
          <w:trHeight w:val="230"/>
        </w:trPr>
        <w:tc>
          <w:tcPr>
            <w:tcW w:w="600" w:type="dxa"/>
            <w:vAlign w:val="bottom"/>
          </w:tcPr>
          <w:p>
            <w:pPr>
              <w:jc w:val="center"/>
              <w:ind w:right="110"/>
              <w:spacing w:after="0"/>
              <w:rPr>
                <w:rFonts w:ascii="Arial" w:cs="Arial" w:eastAsia="Arial" w:hAnsi="Arial"/>
                <w:sz w:val="18"/>
                <w:szCs w:val="18"/>
                <w:u w:val="single" w:color="auto"/>
                <w:color w:val="0000FF"/>
                <w:w w:val="88"/>
              </w:rPr>
            </w:pPr>
            <w:hyperlink r:id="rId301">
              <w:r>
                <w:rPr>
                  <w:rFonts w:ascii="Arial" w:cs="Arial" w:eastAsia="Arial" w:hAnsi="Arial"/>
                  <w:sz w:val="18"/>
                  <w:szCs w:val="18"/>
                  <w:u w:val="single" w:color="auto"/>
                  <w:color w:val="0000FF"/>
                  <w:w w:val="88"/>
                </w:rPr>
                <w:t>10.59</w:t>
              </w:r>
            </w:hyperlink>
          </w:p>
        </w:tc>
        <w:tc>
          <w:tcPr>
            <w:tcW w:w="5520" w:type="dxa"/>
            <w:vAlign w:val="bottom"/>
          </w:tcPr>
          <w:p>
            <w:pPr>
              <w:ind w:left="200"/>
              <w:spacing w:after="0"/>
              <w:rPr>
                <w:sz w:val="20"/>
                <w:szCs w:val="20"/>
                <w:color w:val="auto"/>
              </w:rPr>
            </w:pPr>
            <w:r>
              <w:rPr>
                <w:rFonts w:ascii="Arial" w:cs="Arial" w:eastAsia="Arial" w:hAnsi="Arial"/>
                <w:sz w:val="18"/>
                <w:szCs w:val="18"/>
                <w:color w:val="auto"/>
              </w:rPr>
              <w:t>Form of Warrant Confirmation</w:t>
            </w:r>
          </w:p>
        </w:tc>
        <w:tc>
          <w:tcPr>
            <w:tcW w:w="0" w:type="dxa"/>
            <w:vAlign w:val="bottom"/>
          </w:tcPr>
          <w:p>
            <w:pPr>
              <w:spacing w:after="0"/>
              <w:rPr>
                <w:sz w:val="1"/>
                <w:szCs w:val="1"/>
                <w:color w:val="auto"/>
              </w:rPr>
            </w:pPr>
          </w:p>
        </w:tc>
      </w:tr>
      <w:tr>
        <w:trPr>
          <w:trHeight w:val="230"/>
        </w:trPr>
        <w:tc>
          <w:tcPr>
            <w:tcW w:w="600" w:type="dxa"/>
            <w:vAlign w:val="bottom"/>
          </w:tcPr>
          <w:p>
            <w:pPr>
              <w:jc w:val="center"/>
              <w:ind w:right="90"/>
              <w:spacing w:after="0"/>
              <w:rPr>
                <w:rFonts w:ascii="Arial" w:cs="Arial" w:eastAsia="Arial" w:hAnsi="Arial"/>
                <w:sz w:val="18"/>
                <w:szCs w:val="18"/>
                <w:u w:val="single" w:color="auto"/>
                <w:color w:val="0000FF"/>
                <w:w w:val="85"/>
              </w:rPr>
            </w:pPr>
            <w:hyperlink w:anchor="page163">
              <w:r>
                <w:rPr>
                  <w:rFonts w:ascii="Arial" w:cs="Arial" w:eastAsia="Arial" w:hAnsi="Arial"/>
                  <w:sz w:val="18"/>
                  <w:szCs w:val="18"/>
                  <w:u w:val="single" w:color="auto"/>
                  <w:color w:val="0000FF"/>
                  <w:w w:val="85"/>
                </w:rPr>
                <w:t>21.1</w:t>
              </w:r>
            </w:hyperlink>
          </w:p>
        </w:tc>
        <w:tc>
          <w:tcPr>
            <w:tcW w:w="5520" w:type="dxa"/>
            <w:vAlign w:val="bottom"/>
          </w:tcPr>
          <w:p>
            <w:pPr>
              <w:ind w:left="200"/>
              <w:spacing w:after="0"/>
              <w:rPr>
                <w:sz w:val="20"/>
                <w:szCs w:val="20"/>
                <w:color w:val="auto"/>
              </w:rPr>
            </w:pPr>
            <w:r>
              <w:rPr>
                <w:rFonts w:ascii="Arial" w:cs="Arial" w:eastAsia="Arial" w:hAnsi="Arial"/>
                <w:sz w:val="18"/>
                <w:szCs w:val="18"/>
                <w:color w:val="auto"/>
              </w:rPr>
              <w:t>Subsidiaries of Marriott Vacations Worldwide Corporation</w:t>
            </w:r>
          </w:p>
        </w:tc>
        <w:tc>
          <w:tcPr>
            <w:tcW w:w="0" w:type="dxa"/>
            <w:vAlign w:val="bottom"/>
          </w:tcPr>
          <w:p>
            <w:pPr>
              <w:spacing w:after="0"/>
              <w:rPr>
                <w:sz w:val="1"/>
                <w:szCs w:val="1"/>
                <w:color w:val="auto"/>
              </w:rPr>
            </w:pPr>
          </w:p>
        </w:tc>
      </w:tr>
      <w:tr>
        <w:trPr>
          <w:trHeight w:val="230"/>
        </w:trPr>
        <w:tc>
          <w:tcPr>
            <w:tcW w:w="600" w:type="dxa"/>
            <w:vAlign w:val="bottom"/>
          </w:tcPr>
          <w:p>
            <w:pPr>
              <w:jc w:val="center"/>
              <w:ind w:right="90"/>
              <w:spacing w:after="0"/>
              <w:rPr>
                <w:rFonts w:ascii="Arial" w:cs="Arial" w:eastAsia="Arial" w:hAnsi="Arial"/>
                <w:sz w:val="18"/>
                <w:szCs w:val="18"/>
                <w:u w:val="single" w:color="auto"/>
                <w:color w:val="0000FF"/>
                <w:w w:val="85"/>
              </w:rPr>
            </w:pPr>
            <w:hyperlink r:id="rId302">
              <w:r>
                <w:rPr>
                  <w:rFonts w:ascii="Arial" w:cs="Arial" w:eastAsia="Arial" w:hAnsi="Arial"/>
                  <w:sz w:val="18"/>
                  <w:szCs w:val="18"/>
                  <w:u w:val="single" w:color="auto"/>
                  <w:color w:val="0000FF"/>
                  <w:w w:val="85"/>
                </w:rPr>
                <w:t>22.1</w:t>
              </w:r>
            </w:hyperlink>
          </w:p>
        </w:tc>
        <w:tc>
          <w:tcPr>
            <w:tcW w:w="5520" w:type="dxa"/>
            <w:vAlign w:val="bottom"/>
          </w:tcPr>
          <w:p>
            <w:pPr>
              <w:ind w:left="200"/>
              <w:spacing w:after="0"/>
              <w:rPr>
                <w:sz w:val="20"/>
                <w:szCs w:val="20"/>
                <w:color w:val="auto"/>
              </w:rPr>
            </w:pPr>
            <w:r>
              <w:rPr>
                <w:rFonts w:ascii="Arial" w:cs="Arial" w:eastAsia="Arial" w:hAnsi="Arial"/>
                <w:sz w:val="18"/>
                <w:szCs w:val="18"/>
                <w:color w:val="auto"/>
              </w:rPr>
              <w:t>List of the Issuer and its Guarantor Subsidiaries</w:t>
            </w:r>
          </w:p>
        </w:tc>
        <w:tc>
          <w:tcPr>
            <w:tcW w:w="0" w:type="dxa"/>
            <w:vAlign w:val="bottom"/>
          </w:tcPr>
          <w:p>
            <w:pPr>
              <w:spacing w:after="0"/>
              <w:rPr>
                <w:sz w:val="1"/>
                <w:szCs w:val="1"/>
                <w:color w:val="auto"/>
              </w:rPr>
            </w:pPr>
          </w:p>
        </w:tc>
      </w:tr>
      <w:tr>
        <w:trPr>
          <w:trHeight w:val="229"/>
        </w:trPr>
        <w:tc>
          <w:tcPr>
            <w:tcW w:w="600" w:type="dxa"/>
            <w:vAlign w:val="bottom"/>
          </w:tcPr>
          <w:p>
            <w:pPr>
              <w:jc w:val="center"/>
              <w:ind w:right="90"/>
              <w:spacing w:after="0"/>
              <w:rPr>
                <w:rFonts w:ascii="Arial" w:cs="Arial" w:eastAsia="Arial" w:hAnsi="Arial"/>
                <w:sz w:val="18"/>
                <w:szCs w:val="18"/>
                <w:u w:val="single" w:color="auto"/>
                <w:color w:val="0000FF"/>
                <w:w w:val="85"/>
              </w:rPr>
            </w:pPr>
            <w:hyperlink w:anchor="page165">
              <w:r>
                <w:rPr>
                  <w:rFonts w:ascii="Arial" w:cs="Arial" w:eastAsia="Arial" w:hAnsi="Arial"/>
                  <w:sz w:val="18"/>
                  <w:szCs w:val="18"/>
                  <w:u w:val="single" w:color="auto"/>
                  <w:color w:val="0000FF"/>
                  <w:w w:val="85"/>
                </w:rPr>
                <w:t>23.1</w:t>
              </w:r>
            </w:hyperlink>
          </w:p>
        </w:tc>
        <w:tc>
          <w:tcPr>
            <w:tcW w:w="5520" w:type="dxa"/>
            <w:vAlign w:val="bottom"/>
          </w:tcPr>
          <w:p>
            <w:pPr>
              <w:ind w:left="20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30"/>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85"/>
              </w:rPr>
              <w:t>24.1</w:t>
            </w:r>
          </w:p>
        </w:tc>
        <w:tc>
          <w:tcPr>
            <w:tcW w:w="5520" w:type="dxa"/>
            <w:vAlign w:val="bottom"/>
          </w:tcPr>
          <w:p>
            <w:pPr>
              <w:ind w:left="200"/>
              <w:spacing w:after="0"/>
              <w:rPr>
                <w:sz w:val="20"/>
                <w:szCs w:val="20"/>
                <w:color w:val="auto"/>
              </w:rPr>
            </w:pPr>
            <w:r>
              <w:rPr>
                <w:rFonts w:ascii="Arial" w:cs="Arial" w:eastAsia="Arial" w:hAnsi="Arial"/>
                <w:sz w:val="18"/>
                <w:szCs w:val="18"/>
                <w:color w:val="auto"/>
              </w:rPr>
              <w:t>Powers of Attorney (included on the signature pages hereto)</w:t>
            </w:r>
          </w:p>
        </w:tc>
        <w:tc>
          <w:tcPr>
            <w:tcW w:w="0" w:type="dxa"/>
            <w:vAlign w:val="bottom"/>
          </w:tcPr>
          <w:p>
            <w:pPr>
              <w:spacing w:after="0"/>
              <w:rPr>
                <w:sz w:val="1"/>
                <w:szCs w:val="1"/>
                <w:color w:val="auto"/>
              </w:rPr>
            </w:pPr>
          </w:p>
        </w:tc>
      </w:tr>
      <w:tr>
        <w:trPr>
          <w:trHeight w:val="176"/>
        </w:trPr>
        <w:tc>
          <w:tcPr>
            <w:tcW w:w="600" w:type="dxa"/>
            <w:vAlign w:val="bottom"/>
            <w:vMerge w:val="restart"/>
          </w:tcPr>
          <w:p>
            <w:pPr>
              <w:jc w:val="center"/>
              <w:ind w:right="90"/>
              <w:spacing w:after="0"/>
              <w:rPr>
                <w:rFonts w:ascii="Arial" w:cs="Arial" w:eastAsia="Arial" w:hAnsi="Arial"/>
                <w:sz w:val="18"/>
                <w:szCs w:val="18"/>
                <w:u w:val="single" w:color="auto"/>
                <w:color w:val="0000FF"/>
                <w:w w:val="85"/>
              </w:rPr>
            </w:pPr>
            <w:hyperlink w:anchor="page166">
              <w:r>
                <w:rPr>
                  <w:rFonts w:ascii="Arial" w:cs="Arial" w:eastAsia="Arial" w:hAnsi="Arial"/>
                  <w:sz w:val="18"/>
                  <w:szCs w:val="18"/>
                  <w:u w:val="single" w:color="auto"/>
                  <w:color w:val="0000FF"/>
                  <w:w w:val="85"/>
                </w:rPr>
                <w:t>31.1</w:t>
              </w:r>
            </w:hyperlink>
          </w:p>
        </w:tc>
        <w:tc>
          <w:tcPr>
            <w:tcW w:w="5520" w:type="dxa"/>
            <w:vAlign w:val="bottom"/>
          </w:tcPr>
          <w:p>
            <w:pPr>
              <w:ind w:left="200"/>
              <w:spacing w:after="0" w:line="176" w:lineRule="exact"/>
              <w:rPr>
                <w:sz w:val="20"/>
                <w:szCs w:val="20"/>
                <w:color w:val="auto"/>
              </w:rPr>
            </w:pPr>
            <w:r>
              <w:rPr>
                <w:rFonts w:ascii="Arial" w:cs="Arial" w:eastAsia="Arial" w:hAnsi="Arial"/>
                <w:sz w:val="18"/>
                <w:szCs w:val="18"/>
                <w:color w:val="auto"/>
                <w:w w:val="92"/>
              </w:rPr>
              <w:t>Certification of Chief Executive Officer pursuant to Rule 13a-14(a) of the</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5520" w:type="dxa"/>
            <w:vAlign w:val="bottom"/>
            <w:vMerge w:val="restart"/>
          </w:tcPr>
          <w:p>
            <w:pPr>
              <w:ind w:left="20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5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-1131570</wp:posOffset>
            </wp:positionV>
            <wp:extent cx="709803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-840105</wp:posOffset>
            </wp:positionV>
            <wp:extent cx="709803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-548640</wp:posOffset>
            </wp:positionV>
            <wp:extent cx="709803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-257175</wp:posOffset>
            </wp:positionV>
            <wp:extent cx="7098030"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6">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75"/>
        </w:trPr>
        <w:tc>
          <w:tcPr>
            <w:tcW w:w="520" w:type="dxa"/>
            <w:vAlign w:val="bottom"/>
            <w:vMerge w:val="restart"/>
          </w:tcPr>
          <w:p>
            <w:pPr>
              <w:jc w:val="right"/>
              <w:ind w:right="130"/>
              <w:spacing w:after="0"/>
              <w:rPr>
                <w:rFonts w:ascii="Arial" w:cs="Arial" w:eastAsia="Arial" w:hAnsi="Arial"/>
                <w:sz w:val="18"/>
                <w:szCs w:val="18"/>
                <w:u w:val="single" w:color="auto"/>
                <w:color w:val="0000FF"/>
                <w:w w:val="79"/>
              </w:rPr>
            </w:pPr>
            <w:hyperlink w:anchor="page167">
              <w:r>
                <w:rPr>
                  <w:rFonts w:ascii="Arial" w:cs="Arial" w:eastAsia="Arial" w:hAnsi="Arial"/>
                  <w:sz w:val="18"/>
                  <w:szCs w:val="18"/>
                  <w:u w:val="single" w:color="auto"/>
                  <w:color w:val="0000FF"/>
                  <w:w w:val="79"/>
                </w:rPr>
                <w:t>31.2</w:t>
              </w:r>
            </w:hyperlink>
          </w:p>
        </w:tc>
        <w:tc>
          <w:tcPr>
            <w:tcW w:w="5480" w:type="dxa"/>
            <w:vAlign w:val="bottom"/>
          </w:tcPr>
          <w:p>
            <w:pPr>
              <w:ind w:left="220"/>
              <w:spacing w:after="0" w:line="175" w:lineRule="exact"/>
              <w:rPr>
                <w:sz w:val="20"/>
                <w:szCs w:val="20"/>
                <w:color w:val="auto"/>
              </w:rPr>
            </w:pPr>
            <w:r>
              <w:rPr>
                <w:rFonts w:ascii="Arial" w:cs="Arial" w:eastAsia="Arial" w:hAnsi="Arial"/>
                <w:sz w:val="18"/>
                <w:szCs w:val="18"/>
                <w:color w:val="auto"/>
                <w:w w:val="92"/>
              </w:rPr>
              <w:t>Certification of Chief Financial Officer pursuant to Rule 13a-14(a) of the</w:t>
            </w: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20" w:type="dxa"/>
            <w:vAlign w:val="bottom"/>
            <w:vMerge w:val="restart"/>
          </w:tcPr>
          <w:p>
            <w:pPr>
              <w:jc w:val="right"/>
              <w:ind w:right="130"/>
              <w:spacing w:after="0"/>
              <w:rPr>
                <w:rFonts w:ascii="Arial" w:cs="Arial" w:eastAsia="Arial" w:hAnsi="Arial"/>
                <w:sz w:val="18"/>
                <w:szCs w:val="18"/>
                <w:u w:val="single" w:color="auto"/>
                <w:color w:val="0000FF"/>
                <w:w w:val="79"/>
              </w:rPr>
            </w:pPr>
            <w:hyperlink w:anchor="page168">
              <w:r>
                <w:rPr>
                  <w:rFonts w:ascii="Arial" w:cs="Arial" w:eastAsia="Arial" w:hAnsi="Arial"/>
                  <w:sz w:val="18"/>
                  <w:szCs w:val="18"/>
                  <w:u w:val="single" w:color="auto"/>
                  <w:color w:val="0000FF"/>
                  <w:w w:val="79"/>
                </w:rPr>
                <w:t>32.1</w:t>
              </w:r>
            </w:hyperlink>
          </w:p>
        </w:tc>
        <w:tc>
          <w:tcPr>
            <w:tcW w:w="5480" w:type="dxa"/>
            <w:vAlign w:val="bottom"/>
          </w:tcPr>
          <w:p>
            <w:pPr>
              <w:ind w:left="220"/>
              <w:spacing w:after="0" w:line="176" w:lineRule="exact"/>
              <w:rPr>
                <w:sz w:val="20"/>
                <w:szCs w:val="20"/>
                <w:color w:val="auto"/>
              </w:rPr>
            </w:pPr>
            <w:r>
              <w:rPr>
                <w:rFonts w:ascii="Arial" w:cs="Arial" w:eastAsia="Arial" w:hAnsi="Arial"/>
                <w:sz w:val="18"/>
                <w:szCs w:val="18"/>
                <w:color w:val="auto"/>
                <w:w w:val="93"/>
              </w:rPr>
              <w:t>Certification of Chief Executive Officer pursuant to Rule 13a-14(b) and</w:t>
            </w: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20" w:type="dxa"/>
            <w:vAlign w:val="bottom"/>
            <w:vMerge w:val="restart"/>
          </w:tcPr>
          <w:p>
            <w:pPr>
              <w:jc w:val="right"/>
              <w:ind w:right="130"/>
              <w:spacing w:after="0"/>
              <w:rPr>
                <w:rFonts w:ascii="Arial" w:cs="Arial" w:eastAsia="Arial" w:hAnsi="Arial"/>
                <w:sz w:val="18"/>
                <w:szCs w:val="18"/>
                <w:u w:val="single" w:color="auto"/>
                <w:color w:val="0000FF"/>
                <w:w w:val="79"/>
              </w:rPr>
            </w:pPr>
            <w:hyperlink w:anchor="page169">
              <w:r>
                <w:rPr>
                  <w:rFonts w:ascii="Arial" w:cs="Arial" w:eastAsia="Arial" w:hAnsi="Arial"/>
                  <w:sz w:val="18"/>
                  <w:szCs w:val="18"/>
                  <w:u w:val="single" w:color="auto"/>
                  <w:color w:val="0000FF"/>
                  <w:w w:val="79"/>
                </w:rPr>
                <w:t>32.2</w:t>
              </w:r>
            </w:hyperlink>
          </w:p>
        </w:tc>
        <w:tc>
          <w:tcPr>
            <w:tcW w:w="5480" w:type="dxa"/>
            <w:vAlign w:val="bottom"/>
          </w:tcPr>
          <w:p>
            <w:pPr>
              <w:ind w:left="220"/>
              <w:spacing w:after="0" w:line="176" w:lineRule="exact"/>
              <w:rPr>
                <w:sz w:val="20"/>
                <w:szCs w:val="20"/>
                <w:color w:val="auto"/>
              </w:rPr>
            </w:pPr>
            <w:r>
              <w:rPr>
                <w:rFonts w:ascii="Arial" w:cs="Arial" w:eastAsia="Arial" w:hAnsi="Arial"/>
                <w:sz w:val="18"/>
                <w:szCs w:val="18"/>
                <w:color w:val="auto"/>
                <w:w w:val="94"/>
              </w:rPr>
              <w:t>Certification of Chief Financial Officer pursuant to Rule 13a-14(b) and</w:t>
            </w: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-514350</wp:posOffset>
            </wp:positionV>
            <wp:extent cx="7098030"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7">
                      <a:extLst>
                        <a:ext uri="{28A0092B-C50C-407E-A947-70E740481C1C}"/>
                      </a:extLst>
                    </a:blip>
                    <a:srcRect/>
                    <a:stretch>
                      <a:fillRect/>
                    </a:stretch>
                  </pic:blipFill>
                  <pic:spPr bwMode="auto">
                    <a:xfrm>
                      <a:off x="0" y="0"/>
                      <a:ext cx="7098030" cy="2571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0</wp:posOffset>
            </wp:positionV>
            <wp:extent cx="7098030" cy="4800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8">
                      <a:extLst>
                        <a:ext uri="{28A0092B-C50C-407E-A947-70E740481C1C}"/>
                      </a:extLst>
                    </a:blip>
                    <a:srcRect/>
                    <a:stretch>
                      <a:fillRect/>
                    </a:stretch>
                  </pic:blipFill>
                  <pic:spPr bwMode="auto">
                    <a:xfrm>
                      <a:off x="0" y="0"/>
                      <a:ext cx="709803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80" w:type="dxa"/>
            <w:vAlign w:val="bottom"/>
          </w:tcPr>
          <w:p>
            <w:pPr>
              <w:jc w:val="center"/>
              <w:ind w:left="490"/>
              <w:spacing w:after="0"/>
              <w:rPr>
                <w:sz w:val="20"/>
                <w:szCs w:val="20"/>
                <w:color w:val="auto"/>
              </w:rPr>
            </w:pPr>
            <w:r>
              <w:rPr>
                <w:rFonts w:ascii="Arial" w:cs="Arial" w:eastAsia="Arial" w:hAnsi="Arial"/>
                <w:sz w:val="18"/>
                <w:szCs w:val="18"/>
                <w:color w:val="auto"/>
                <w:w w:val="95"/>
              </w:rPr>
              <w:t>DEF 14A</w:t>
            </w:r>
          </w:p>
        </w:tc>
        <w:tc>
          <w:tcPr>
            <w:tcW w:w="1100" w:type="dxa"/>
            <w:vAlign w:val="bottom"/>
          </w:tcPr>
          <w:p>
            <w:pPr>
              <w:jc w:val="center"/>
              <w:ind w:right="12"/>
              <w:spacing w:after="0"/>
              <w:rPr>
                <w:sz w:val="20"/>
                <w:szCs w:val="20"/>
                <w:color w:val="auto"/>
              </w:rPr>
            </w:pPr>
            <w:r>
              <w:rPr>
                <w:rFonts w:ascii="Arial" w:cs="Arial" w:eastAsia="Arial" w:hAnsi="Arial"/>
                <w:sz w:val="16"/>
                <w:szCs w:val="16"/>
                <w:color w:val="auto"/>
                <w:w w:val="97"/>
              </w:rPr>
              <w:t>Appendix A</w:t>
            </w:r>
          </w:p>
        </w:tc>
        <w:tc>
          <w:tcPr>
            <w:tcW w:w="940" w:type="dxa"/>
            <w:vAlign w:val="bottom"/>
          </w:tcPr>
          <w:p>
            <w:pPr>
              <w:jc w:val="center"/>
              <w:ind w:left="110"/>
              <w:spacing w:after="0"/>
              <w:rPr>
                <w:sz w:val="20"/>
                <w:szCs w:val="20"/>
                <w:color w:val="auto"/>
              </w:rPr>
            </w:pPr>
            <w:r>
              <w:rPr>
                <w:rFonts w:ascii="Arial" w:cs="Arial" w:eastAsia="Arial" w:hAnsi="Arial"/>
                <w:sz w:val="18"/>
                <w:szCs w:val="18"/>
                <w:color w:val="auto"/>
                <w:w w:val="92"/>
              </w:rPr>
              <w:t>3/30/2020</w:t>
            </w:r>
          </w:p>
        </w:tc>
      </w:tr>
      <w:tr>
        <w:trPr>
          <w:trHeight w:val="229"/>
        </w:trPr>
        <w:tc>
          <w:tcPr>
            <w:tcW w:w="1480" w:type="dxa"/>
            <w:vAlign w:val="bottom"/>
          </w:tcPr>
          <w:p>
            <w:pPr>
              <w:jc w:val="center"/>
              <w:ind w:left="47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right="12"/>
              <w:spacing w:after="0"/>
              <w:rPr>
                <w:sz w:val="20"/>
                <w:szCs w:val="20"/>
                <w:color w:val="auto"/>
              </w:rPr>
            </w:pPr>
            <w:r>
              <w:rPr>
                <w:rFonts w:ascii="Arial" w:cs="Arial" w:eastAsia="Arial" w:hAnsi="Arial"/>
                <w:sz w:val="18"/>
                <w:szCs w:val="18"/>
                <w:color w:val="auto"/>
                <w:w w:val="91"/>
              </w:rPr>
              <w:t>10.1</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2/3/2021</w:t>
            </w:r>
          </w:p>
        </w:tc>
      </w:tr>
      <w:tr>
        <w:trPr>
          <w:trHeight w:val="230"/>
        </w:trPr>
        <w:tc>
          <w:tcPr>
            <w:tcW w:w="1480" w:type="dxa"/>
            <w:vAlign w:val="bottom"/>
          </w:tcPr>
          <w:p>
            <w:pPr>
              <w:jc w:val="center"/>
              <w:ind w:left="47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right="12"/>
              <w:spacing w:after="0"/>
              <w:rPr>
                <w:sz w:val="20"/>
                <w:szCs w:val="20"/>
                <w:color w:val="auto"/>
              </w:rPr>
            </w:pPr>
            <w:r>
              <w:rPr>
                <w:rFonts w:ascii="Arial" w:cs="Arial" w:eastAsia="Arial" w:hAnsi="Arial"/>
                <w:sz w:val="18"/>
                <w:szCs w:val="18"/>
                <w:color w:val="auto"/>
                <w:w w:val="91"/>
              </w:rPr>
              <w:t>10.2</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1"/>
              </w:rPr>
              <w:t>2/3/2021</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X</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480" w:type="dxa"/>
            <w:vAlign w:val="bottom"/>
          </w:tcPr>
          <w:p>
            <w:pPr>
              <w:jc w:val="center"/>
              <w:ind w:left="49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ind w:right="12"/>
              <w:spacing w:after="0"/>
              <w:rPr>
                <w:sz w:val="20"/>
                <w:szCs w:val="20"/>
                <w:color w:val="auto"/>
              </w:rPr>
            </w:pPr>
            <w:r>
              <w:rPr>
                <w:rFonts w:ascii="Arial" w:cs="Arial" w:eastAsia="Arial" w:hAnsi="Arial"/>
                <w:sz w:val="18"/>
                <w:szCs w:val="18"/>
                <w:color w:val="auto"/>
                <w:w w:val="91"/>
              </w:rPr>
              <w:t>22.1</w:t>
            </w: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11/5/2020</w:t>
            </w:r>
          </w:p>
        </w:tc>
      </w:tr>
    </w:tbl>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Furnished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Furnished</w:t>
      </w:r>
    </w:p>
    <w:p>
      <w:pPr>
        <w:spacing w:after="0" w:line="119" w:lineRule="exact"/>
        <w:rPr>
          <w:sz w:val="20"/>
          <w:szCs w:val="20"/>
          <w:color w:val="auto"/>
        </w:rPr>
      </w:pPr>
    </w:p>
    <w:p>
      <w:pPr>
        <w:sectPr>
          <w:pgSz w:w="11900" w:h="16838" w:orient="portrait"/>
          <w:cols w:equalWidth="0" w:num="2">
            <w:col w:w="6540" w:space="720"/>
            <w:col w:w="3740"/>
          </w:cols>
          <w:pgMar w:left="540" w:top="1098" w:right="35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financial statements from the Company’s Annual Report on Form 10-K for the year ended December 31, 2020, formatted in</w:t>
      </w:r>
    </w:p>
    <w:p>
      <w:pPr>
        <w:spacing w:after="0" w:line="6" w:lineRule="exact"/>
        <w:rPr>
          <w:sz w:val="20"/>
          <w:szCs w:val="20"/>
          <w:color w:val="auto"/>
        </w:rPr>
      </w:pPr>
    </w:p>
    <w:p>
      <w:pPr>
        <w:jc w:val="both"/>
        <w:ind w:left="880" w:right="200" w:hanging="728"/>
        <w:spacing w:after="0" w:line="184" w:lineRule="auto"/>
        <w:tabs>
          <w:tab w:leader="none" w:pos="880" w:val="left"/>
        </w:tabs>
        <w:numPr>
          <w:ilvl w:val="0"/>
          <w:numId w:val="30"/>
        </w:numPr>
        <w:rPr>
          <w:rFonts w:ascii="Arial" w:cs="Arial" w:eastAsia="Arial" w:hAnsi="Arial"/>
          <w:sz w:val="32"/>
          <w:szCs w:val="32"/>
          <w:color w:val="auto"/>
          <w:vertAlign w:val="subscript"/>
        </w:rPr>
      </w:pPr>
      <w:r>
        <w:rPr>
          <w:rFonts w:ascii="Arial" w:cs="Arial" w:eastAsia="Arial" w:hAnsi="Arial"/>
          <w:sz w:val="16"/>
          <w:szCs w:val="16"/>
          <w:color w:val="auto"/>
        </w:rPr>
        <w:t>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1" w:lineRule="exact"/>
        <w:rPr>
          <w:sz w:val="20"/>
          <w:szCs w:val="20"/>
          <w:color w:val="auto"/>
        </w:rPr>
      </w:pPr>
    </w:p>
    <w:p>
      <w:pPr>
        <w:ind w:left="880" w:hanging="72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40" w:top="1098" w:right="359" w:bottom="1440" w:gutter="0" w:footer="0" w:header="0"/>
          <w:type w:val="continuous"/>
        </w:sectPr>
      </w:pPr>
    </w:p>
    <w:bookmarkStart w:id="139" w:name="page140"/>
    <w:bookmarkEnd w:id="139"/>
    <w:p>
      <w:pPr>
        <w:ind w:left="440" w:hanging="281"/>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440" w:right="120" w:hanging="281"/>
        <w:spacing w:after="0" w:line="224"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08" w:lineRule="exact"/>
        <w:rPr>
          <w:sz w:val="20"/>
          <w:szCs w:val="20"/>
          <w:color w:val="auto"/>
        </w:rPr>
      </w:pPr>
    </w:p>
    <w:p>
      <w:pPr>
        <w:ind w:left="440" w:hanging="320"/>
        <w:spacing w:after="0" w:line="180" w:lineRule="auto"/>
        <w:tabs>
          <w:tab w:leader="none" w:pos="4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Schedules have been omitted pursuant to Item 601(b)(2) of Regulation S-K. The Company agrees to furnish supplemental copies to the SEC of any omitted schedule upon request by the SEC.</w:t>
      </w:r>
    </w:p>
    <w:p>
      <w:pPr>
        <w:spacing w:after="0" w:line="4" w:lineRule="exact"/>
        <w:rPr>
          <w:rFonts w:ascii="Arial" w:cs="Arial" w:eastAsia="Arial" w:hAnsi="Arial"/>
          <w:sz w:val="29"/>
          <w:szCs w:val="29"/>
          <w:color w:val="auto"/>
          <w:vertAlign w:val="superscript"/>
        </w:rPr>
      </w:pPr>
    </w:p>
    <w:p>
      <w:pPr>
        <w:ind w:left="440" w:hanging="320"/>
        <w:spacing w:after="0"/>
        <w:tabs>
          <w:tab w:leader="none" w:pos="4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Filing made by ILG, LLC under SEC File No. 001-34062.</w:t>
      </w:r>
    </w:p>
    <w:p>
      <w:pPr>
        <w:spacing w:after="0" w:line="225"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35" w:right="5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1st day of March, 2021.</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MARRIOTT VACATIONS WORLDWIDE CORPORATION</w:t>
      </w:r>
    </w:p>
    <w:p>
      <w:pPr>
        <w:spacing w:after="0" w:line="293"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Weisz</w:t>
            </w:r>
          </w:p>
        </w:tc>
      </w:tr>
      <w:tr>
        <w:trPr>
          <w:trHeight w:val="222"/>
        </w:trPr>
        <w:tc>
          <w:tcPr>
            <w:tcW w:w="12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Stephen P. Weisz</w:t>
            </w:r>
          </w:p>
        </w:tc>
      </w:tr>
      <w:tr>
        <w:trPr>
          <w:trHeight w:val="230"/>
        </w:trPr>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and on the date indicated above.</w:t>
      </w:r>
    </w:p>
    <w:p>
      <w:pPr>
        <w:sectPr>
          <w:pgSz w:w="11900" w:h="16838" w:orient="portrait"/>
          <w:cols w:equalWidth="0" w:num="1">
            <w:col w:w="11240"/>
          </w:cols>
          <w:pgMar w:left="320" w:top="1107" w:right="339" w:bottom="1440" w:gutter="0" w:footer="0" w:header="0"/>
        </w:sect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Executive Officer:</w:t>
      </w:r>
    </w:p>
    <w:p>
      <w:pPr>
        <w:spacing w:after="0" w:line="6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14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1">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Stephen P. Weisz</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Financial Officer:</w:t>
      </w:r>
    </w:p>
    <w:p>
      <w:pPr>
        <w:spacing w:after="0" w:line="6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14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John E. Geller, Jr.</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Accounting Officer:</w:t>
      </w:r>
    </w:p>
    <w:p>
      <w:pPr>
        <w:spacing w:after="0" w:line="6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14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3">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Laurie A. Sullivan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William J. Shaw, Chairman</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C.E. Andrews, Director</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Lizanne Galbreath, Director</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Raymond L. Gellein, Jr., Director</w:t>
      </w:r>
    </w:p>
    <w:p>
      <w:pPr>
        <w:spacing w:after="0" w:line="3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Thomas J. Hutchison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34715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Melquiades R. Martinez, Director</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34715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William W. McCarten, Director</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34715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Dianna F. Morgan, Director</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34715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Stephen R. Quazzo, Director</w:t>
      </w:r>
    </w:p>
    <w:p>
      <w:pPr>
        <w:spacing w:after="0" w:line="919" w:lineRule="exact"/>
        <w:rPr>
          <w:sz w:val="20"/>
          <w:szCs w:val="20"/>
          <w:color w:val="auto"/>
        </w:rPr>
      </w:pPr>
    </w:p>
    <w:p>
      <w:pPr>
        <w:sectPr>
          <w:pgSz w:w="11900" w:h="16838" w:orient="portrait"/>
          <w:cols w:equalWidth="0" w:num="2">
            <w:col w:w="4940" w:space="720"/>
            <w:col w:w="5580"/>
          </w:cols>
          <w:pgMar w:left="320" w:top="1107"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40"/>
          </w:cols>
          <w:pgMar w:left="320" w:top="1107" w:right="3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AMENDED AND RESTATED WAIVER TO CREDIT AGREEMENT</w:t>
      </w:r>
    </w:p>
    <w:p>
      <w:pPr>
        <w:spacing w:after="0" w:line="2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AMENDED AND RESTATED WAIVER TO CREDIT AGREEMENT, dated as of February 16, 2021 (this “</w:t>
      </w:r>
      <w:r>
        <w:rPr>
          <w:rFonts w:ascii="Arial" w:cs="Arial" w:eastAsia="Arial" w:hAnsi="Arial"/>
          <w:sz w:val="18"/>
          <w:szCs w:val="18"/>
          <w:u w:val="single" w:color="auto"/>
          <w:color w:val="auto"/>
        </w:rPr>
        <w:t>Waiver</w:t>
      </w:r>
      <w:r>
        <w:rPr>
          <w:rFonts w:ascii="Arial" w:cs="Arial" w:eastAsia="Arial" w:hAnsi="Arial"/>
          <w:sz w:val="18"/>
          <w:szCs w:val="18"/>
          <w:color w:val="auto"/>
        </w:rPr>
        <w:t>”), to that certain Credit Agreement, dated as of August 31, 2018 (as amended by that certain Amendment No. 1 to Credit Agreement, dated as of December 3, 2019 and as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MARRIOTT VACATIONS WORLDWIDE CORPORATION, a Delaware corporation (“</w:t>
      </w:r>
      <w:r>
        <w:rPr>
          <w:rFonts w:ascii="Arial" w:cs="Arial" w:eastAsia="Arial" w:hAnsi="Arial"/>
          <w:sz w:val="18"/>
          <w:szCs w:val="18"/>
          <w:u w:val="single" w:color="auto"/>
          <w:color w:val="auto"/>
        </w:rPr>
        <w:t>MVWC</w:t>
      </w:r>
      <w:r>
        <w:rPr>
          <w:rFonts w:ascii="Arial" w:cs="Arial" w:eastAsia="Arial" w:hAnsi="Arial"/>
          <w:sz w:val="18"/>
          <w:szCs w:val="18"/>
          <w:color w:val="auto"/>
        </w:rPr>
        <w:t>”), MARRIOTT OWNERSHIP RESORTS, INC., a Delaware corporation (the “</w:t>
      </w:r>
      <w:r>
        <w:rPr>
          <w:rFonts w:ascii="Arial" w:cs="Arial" w:eastAsia="Arial" w:hAnsi="Arial"/>
          <w:sz w:val="18"/>
          <w:szCs w:val="18"/>
          <w:u w:val="single" w:color="auto"/>
          <w:color w:val="auto"/>
        </w:rPr>
        <w:t>MVW Borrower</w:t>
      </w:r>
      <w:r>
        <w:rPr>
          <w:rFonts w:ascii="Arial" w:cs="Arial" w:eastAsia="Arial" w:hAnsi="Arial"/>
          <w:sz w:val="18"/>
          <w:szCs w:val="18"/>
          <w:color w:val="auto"/>
        </w:rPr>
        <w:t>” or the “</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the Lenders and other parties party thereto, and JPMORGAN CHASE BANK, N.A., as administrative agent and collateral agent (in such capacities,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not otherwise defined herein shall have the meanings set forth in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Borrower Representative, the Required Revolving Credit Lenders and the Administrative Agent are party to that certain Waiver to Credit Agreement, dated as of May 14, 2020 (the “</w:t>
      </w:r>
      <w:r>
        <w:rPr>
          <w:rFonts w:ascii="Arial" w:cs="Arial" w:eastAsia="Arial" w:hAnsi="Arial"/>
          <w:sz w:val="20"/>
          <w:szCs w:val="20"/>
          <w:u w:val="single" w:color="auto"/>
          <w:color w:val="auto"/>
        </w:rPr>
        <w:t>Existing Waiver</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this Waiver amends and restates in its entirety the Existing Waiver;</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the Borrower Representative has requested that the Required Revolving Credit Lenders consent to waive the requirements of Section 7.09 of the Credit Agreement for the fiscal quarters ending June 30, 2020 through December 31, 2021, and the Required Revolving Credit Lenders are willing to consent to such waiver on the terms and subject to the conditions set forth in this Waiver; and</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Borrower Representative, the Required Revolving Credit Lenders and the Administrative Agent are willing to agree to this Waiver on the terms set forth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pursuant to Section 10.01 of the Credit Agreement, the parties hereto hereby agree as follows:</w:t>
      </w:r>
    </w:p>
    <w:p>
      <w:pPr>
        <w:spacing w:after="0" w:line="202"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Waiver, the terms listed in this Section 1 shall have the respective meanings set forth in this Section 1:</w:t>
      </w:r>
    </w:p>
    <w:p>
      <w:pPr>
        <w:spacing w:after="0" w:line="202" w:lineRule="exact"/>
        <w:rPr>
          <w:sz w:val="20"/>
          <w:szCs w:val="20"/>
          <w:color w:val="auto"/>
        </w:rPr>
      </w:pPr>
    </w:p>
    <w:p>
      <w:pPr>
        <w:jc w:val="both"/>
        <w:ind w:left="66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Suspension Period</w:t>
      </w:r>
      <w:r>
        <w:rPr>
          <w:rFonts w:ascii="Arial" w:cs="Arial" w:eastAsia="Arial" w:hAnsi="Arial"/>
          <w:sz w:val="20"/>
          <w:szCs w:val="20"/>
          <w:color w:val="auto"/>
        </w:rPr>
        <w:t>” means the period commencing on the Waiver Effective Date through (but not including) the Covenant Suspension Period Termination Date.</w:t>
      </w:r>
    </w:p>
    <w:p>
      <w:pPr>
        <w:spacing w:after="0" w:line="177" w:lineRule="exact"/>
        <w:rPr>
          <w:sz w:val="20"/>
          <w:szCs w:val="20"/>
          <w:color w:val="auto"/>
        </w:rPr>
      </w:pPr>
    </w:p>
    <w:p>
      <w:pPr>
        <w:jc w:val="both"/>
        <w:ind w:left="660" w:firstLine="1296"/>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Covenant Suspension Period Termination Certificate</w:t>
      </w:r>
      <w:r>
        <w:rPr>
          <w:rFonts w:ascii="Arial" w:cs="Arial" w:eastAsia="Arial" w:hAnsi="Arial"/>
          <w:sz w:val="19"/>
          <w:szCs w:val="19"/>
          <w:color w:val="auto"/>
        </w:rPr>
        <w:t>” means an irrevocable certificate of an Authorized Officer of the Borrower Representative (similar in form to a Compliance Certificate) (i) stating that such certificate is a Covenant Suspension Period Termination Certificate and (ii) certifying compliance with the Financial Covenant (without giving effect to Section 2 hereof) for the most recently ended Test Period and demonstrating such compliance in reasonable detail.</w:t>
      </w:r>
    </w:p>
    <w:p>
      <w:pPr>
        <w:spacing w:after="0" w:line="177" w:lineRule="exact"/>
        <w:rPr>
          <w:sz w:val="20"/>
          <w:szCs w:val="20"/>
          <w:color w:val="auto"/>
        </w:rPr>
      </w:pPr>
    </w:p>
    <w:p>
      <w:pPr>
        <w:jc w:val="both"/>
        <w:ind w:left="660" w:firstLine="129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Suspension Period Termination Date</w:t>
      </w:r>
      <w:r>
        <w:rPr>
          <w:rFonts w:ascii="Arial" w:cs="Arial" w:eastAsia="Arial" w:hAnsi="Arial"/>
          <w:sz w:val="18"/>
          <w:szCs w:val="18"/>
          <w:color w:val="auto"/>
        </w:rPr>
        <w:t>” means the earlier of (x) the date of delivery of the Compliance Certificate pursuant to Section 6.02 of the Credit Agreement for the fiscal quarter ending March 31, 2022 demonstrating compliance with the Financial Covenant and (y) the date on which the Borrower Representative delivers to the Administrative Agent a</w:t>
      </w:r>
    </w:p>
    <w:p>
      <w:pPr>
        <w:sectPr>
          <w:pgSz w:w="11900" w:h="16838" w:orient="portrait"/>
          <w:cols w:equalWidth="0" w:num="1">
            <w:col w:w="11240"/>
          </w:cols>
          <w:pgMar w:left="320" w:top="121" w:right="339" w:bottom="1440" w:gutter="0" w:footer="0" w:header="0"/>
        </w:sectPr>
      </w:pPr>
    </w:p>
    <w:bookmarkStart w:id="142" w:name="page143"/>
    <w:bookmarkEnd w:id="142"/>
    <w:p>
      <w:pPr>
        <w:spacing w:after="0" w:line="74" w:lineRule="exact"/>
        <w:rPr>
          <w:sz w:val="20"/>
          <w:szCs w:val="20"/>
          <w:color w:val="auto"/>
        </w:rPr>
      </w:pPr>
    </w:p>
    <w:p>
      <w:pPr>
        <w:jc w:val="both"/>
        <w:ind w:left="4"/>
        <w:spacing w:after="0" w:line="237" w:lineRule="auto"/>
        <w:rPr>
          <w:sz w:val="20"/>
          <w:szCs w:val="20"/>
          <w:color w:val="auto"/>
        </w:rPr>
      </w:pPr>
      <w:r>
        <w:rPr>
          <w:rFonts w:ascii="Arial" w:cs="Arial" w:eastAsia="Arial" w:hAnsi="Arial"/>
          <w:sz w:val="20"/>
          <w:szCs w:val="20"/>
          <w:color w:val="auto"/>
        </w:rPr>
        <w:t xml:space="preserve">Covenant Suspension Period Termination Certificate;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Borrower Representative may only deliver a Covenant Suspension Period Termination Certificate once, on which date the waiver and agreements contained in Section 2 of this Waiver shall terminate.</w:t>
      </w:r>
    </w:p>
    <w:p>
      <w:pPr>
        <w:spacing w:after="0" w:line="183" w:lineRule="exact"/>
        <w:rPr>
          <w:sz w:val="20"/>
          <w:szCs w:val="20"/>
          <w:color w:val="auto"/>
        </w:rPr>
      </w:pPr>
    </w:p>
    <w:p>
      <w:pPr>
        <w:ind w:left="130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Modified Test Period</w:t>
      </w:r>
      <w:r>
        <w:rPr>
          <w:rFonts w:ascii="Arial" w:cs="Arial" w:eastAsia="Arial" w:hAnsi="Arial"/>
          <w:sz w:val="16"/>
          <w:szCs w:val="16"/>
          <w:color w:val="auto"/>
        </w:rPr>
        <w:t>” means (x) the Test Periods ending March 31, 2022, June 30, 2022 and September 30, 2022 or</w:t>
      </w:r>
    </w:p>
    <w:p>
      <w:pPr>
        <w:spacing w:after="0" w:line="48" w:lineRule="exact"/>
        <w:rPr>
          <w:sz w:val="20"/>
          <w:szCs w:val="20"/>
          <w:color w:val="auto"/>
        </w:rPr>
      </w:pPr>
    </w:p>
    <w:p>
      <w:pPr>
        <w:ind w:left="4" w:hanging="4"/>
        <w:spacing w:after="0" w:line="234" w:lineRule="auto"/>
        <w:tabs>
          <w:tab w:leader="none" w:pos="306"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Borrower Representative has delivered a Covenant Suspension Period Termination Certificate, the Test Period to which such Covenant Suspension Period Termination Certificate applies and the following two Test Periods.</w:t>
      </w:r>
    </w:p>
    <w:p>
      <w:pPr>
        <w:spacing w:after="0" w:line="184"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Waiver Effective Date</w:t>
      </w:r>
      <w:r>
        <w:rPr>
          <w:rFonts w:ascii="Arial" w:cs="Arial" w:eastAsia="Arial" w:hAnsi="Arial"/>
          <w:sz w:val="20"/>
          <w:szCs w:val="20"/>
          <w:color w:val="auto"/>
        </w:rPr>
        <w:t>” has the meaning specified in Section 4 hereof.</w:t>
      </w:r>
    </w:p>
    <w:p>
      <w:pPr>
        <w:spacing w:after="0" w:line="202" w:lineRule="exact"/>
        <w:rPr>
          <w:sz w:val="20"/>
          <w:szCs w:val="20"/>
          <w:color w:val="auto"/>
        </w:rPr>
      </w:pPr>
    </w:p>
    <w:p>
      <w:pPr>
        <w:ind w:left="4"/>
        <w:spacing w:after="0"/>
        <w:tabs>
          <w:tab w:leader="none" w:pos="944"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202" w:lineRule="exact"/>
        <w:rPr>
          <w:sz w:val="20"/>
          <w:szCs w:val="20"/>
          <w:color w:val="auto"/>
        </w:rPr>
      </w:pPr>
    </w:p>
    <w:p>
      <w:pPr>
        <w:jc w:val="both"/>
        <w:ind w:left="-656" w:firstLine="656"/>
        <w:spacing w:after="0" w:line="231" w:lineRule="auto"/>
        <w:tabs>
          <w:tab w:leader="none" w:pos="63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Each Lender party hereto (which Lenders collectively constitute the Required Revolving Credit Lenders) hereby agrees (x) to waive compliance with the Financial Covenant for the fiscal quarters ending June 30, 2020, September 30, 2020, December 31, 2020, March 31, 2021, June 30, 2021, September 30, 2021 and December 31, 2021 and (y) that the Compliance Certificates delivered for such fiscal quarters shall be revised to reflect such waiver;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without the consent of the Required Revolving Credit Lenders during the Covenant Suspension Period, MVWC and the Borrower Representative shall not, and shall not permit any of the Restricted Subsidiaries to, directly or indirectly:</w:t>
      </w:r>
    </w:p>
    <w:p>
      <w:pPr>
        <w:spacing w:after="0" w:line="183" w:lineRule="exact"/>
        <w:rPr>
          <w:rFonts w:ascii="Arial" w:cs="Arial" w:eastAsia="Arial" w:hAnsi="Arial"/>
          <w:sz w:val="20"/>
          <w:szCs w:val="20"/>
          <w:color w:val="auto"/>
        </w:rPr>
      </w:pPr>
    </w:p>
    <w:p>
      <w:pPr>
        <w:jc w:val="both"/>
        <w:ind w:left="4" w:firstLine="644"/>
        <w:spacing w:after="0" w:line="267" w:lineRule="auto"/>
        <w:tabs>
          <w:tab w:leader="none" w:pos="12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permit the sum of (x) the aggregate amount of cash and Cash Equivalents of MVWC and its Restricted Subsidiaries and (y) the aggregate available Revolving Credit Commitments as of the last day of each fiscal month of MVWC to be less than $300,000,000, and the Borrower Representative shall deliver a certificate to the Administrative Agent within five (5) Business Days following the end of each such fiscal month demonstrating compliance in reasonable detail (the “</w:t>
      </w:r>
      <w:r>
        <w:rPr>
          <w:rFonts w:ascii="Arial" w:cs="Arial" w:eastAsia="Arial" w:hAnsi="Arial"/>
          <w:sz w:val="18"/>
          <w:szCs w:val="18"/>
          <w:u w:val="single" w:color="auto"/>
          <w:color w:val="auto"/>
        </w:rPr>
        <w:t>Minimum Liquidity Covenant</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4" w:right="20" w:firstLine="644"/>
        <w:spacing w:after="0" w:line="246" w:lineRule="auto"/>
        <w:tabs>
          <w:tab w:leader="none" w:pos="1299" w:val="left"/>
        </w:tabs>
        <w:numPr>
          <w:ilvl w:val="1"/>
          <w:numId w:val="36"/>
        </w:numPr>
        <w:rPr>
          <w:rFonts w:ascii="Arial" w:cs="Arial" w:eastAsia="Arial" w:hAnsi="Arial"/>
          <w:sz w:val="20"/>
          <w:szCs w:val="20"/>
          <w:color w:val="auto"/>
        </w:rPr>
      </w:pPr>
      <w:r>
        <w:rPr>
          <w:rFonts w:ascii="Arial" w:cs="Arial" w:eastAsia="Arial" w:hAnsi="Arial"/>
          <w:sz w:val="20"/>
          <w:szCs w:val="20"/>
          <w:color w:val="auto"/>
        </w:rPr>
        <w:t>make any Restricted Payments pursuant to Section 7.06(f) in excess of $15,000,000 in the aggregate, or Section 7.06(j) in excess of $25,000,000 in the aggregate, or Section 7.06(k), (l)(ii), (m) or (n);</w:t>
      </w:r>
    </w:p>
    <w:p>
      <w:pPr>
        <w:spacing w:after="0" w:line="176" w:lineRule="exact"/>
        <w:rPr>
          <w:rFonts w:ascii="Arial" w:cs="Arial" w:eastAsia="Arial" w:hAnsi="Arial"/>
          <w:sz w:val="20"/>
          <w:szCs w:val="20"/>
          <w:color w:val="auto"/>
        </w:rPr>
      </w:pPr>
    </w:p>
    <w:p>
      <w:pPr>
        <w:ind w:left="1304" w:hanging="656"/>
        <w:spacing w:after="0"/>
        <w:tabs>
          <w:tab w:leader="none" w:pos="1304" w:val="left"/>
        </w:tabs>
        <w:numPr>
          <w:ilvl w:val="1"/>
          <w:numId w:val="36"/>
        </w:numPr>
        <w:rPr>
          <w:rFonts w:ascii="Arial" w:cs="Arial" w:eastAsia="Arial" w:hAnsi="Arial"/>
          <w:sz w:val="20"/>
          <w:szCs w:val="20"/>
          <w:color w:val="auto"/>
        </w:rPr>
      </w:pPr>
      <w:r>
        <w:rPr>
          <w:rFonts w:ascii="Arial" w:cs="Arial" w:eastAsia="Arial" w:hAnsi="Arial"/>
          <w:sz w:val="20"/>
          <w:szCs w:val="20"/>
          <w:color w:val="auto"/>
        </w:rPr>
        <w:t>make any prepayments of Junior Debt;</w:t>
      </w:r>
    </w:p>
    <w:p>
      <w:pPr>
        <w:spacing w:after="0" w:line="202" w:lineRule="exact"/>
        <w:rPr>
          <w:rFonts w:ascii="Arial" w:cs="Arial" w:eastAsia="Arial" w:hAnsi="Arial"/>
          <w:sz w:val="20"/>
          <w:szCs w:val="20"/>
          <w:color w:val="auto"/>
        </w:rPr>
      </w:pPr>
    </w:p>
    <w:p>
      <w:pPr>
        <w:jc w:val="both"/>
        <w:ind w:left="4" w:firstLine="644"/>
        <w:spacing w:after="0" w:line="237" w:lineRule="auto"/>
        <w:tabs>
          <w:tab w:leader="none" w:pos="1289" w:val="left"/>
        </w:tabs>
        <w:numPr>
          <w:ilvl w:val="1"/>
          <w:numId w:val="36"/>
        </w:numPr>
        <w:rPr>
          <w:rFonts w:ascii="Arial" w:cs="Arial" w:eastAsia="Arial" w:hAnsi="Arial"/>
          <w:sz w:val="20"/>
          <w:szCs w:val="20"/>
          <w:color w:val="auto"/>
        </w:rPr>
      </w:pPr>
      <w:r>
        <w:rPr>
          <w:rFonts w:ascii="Arial" w:cs="Arial" w:eastAsia="Arial" w:hAnsi="Arial"/>
          <w:sz w:val="20"/>
          <w:szCs w:val="20"/>
          <w:color w:val="auto"/>
        </w:rPr>
        <w:t>make any Investments pursuant to Section 7.02(j), (t), (v) (provided that Investments in JV Entities shall be permitted in an aggregate amount, as valued at cost at the time each such Investment is made and including all related commitments for future Investments, of up to $25,000,000), (y) or (cc); and</w:t>
      </w:r>
    </w:p>
    <w:p>
      <w:pPr>
        <w:spacing w:after="0" w:line="182" w:lineRule="exact"/>
        <w:rPr>
          <w:rFonts w:ascii="Arial" w:cs="Arial" w:eastAsia="Arial" w:hAnsi="Arial"/>
          <w:sz w:val="20"/>
          <w:szCs w:val="20"/>
          <w:color w:val="auto"/>
        </w:rPr>
      </w:pPr>
    </w:p>
    <w:p>
      <w:pPr>
        <w:jc w:val="both"/>
        <w:ind w:left="4" w:firstLine="644"/>
        <w:spacing w:after="0" w:line="237" w:lineRule="auto"/>
        <w:tabs>
          <w:tab w:leader="none" w:pos="1288"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incur any Indebtedness in the form of Incremental Facilities, or Indebtedness pursuant to Section 7.03(f) (except as incurred in the ordinary course of business), (r), (t), (u) or (v), in each case that is secured by a Lien;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MVW Borrower’s 6.125% Senior Secured Notes due 2025 shall be permitted in any event.</w:t>
      </w:r>
    </w:p>
    <w:p>
      <w:pPr>
        <w:spacing w:after="0" w:line="182" w:lineRule="exact"/>
        <w:rPr>
          <w:rFonts w:ascii="Arial" w:cs="Arial" w:eastAsia="Arial" w:hAnsi="Arial"/>
          <w:sz w:val="20"/>
          <w:szCs w:val="20"/>
          <w:color w:val="auto"/>
        </w:rPr>
      </w:pPr>
    </w:p>
    <w:p>
      <w:pPr>
        <w:jc w:val="both"/>
        <w:ind w:left="-656" w:firstLine="656"/>
        <w:spacing w:after="0" w:line="237" w:lineRule="auto"/>
        <w:tabs>
          <w:tab w:leader="none" w:pos="628"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Commencing on the Waiver Effective Date and through the earlier of (i) the Covenant Suspension Period Termination Date and (ii) December 31, 2021, the Applicable Rate with respect to Revolving Credit Loans and the Commitment Fee Rate shall be as set forth under Level V of the Pricing Grid.</w:t>
      </w:r>
    </w:p>
    <w:p>
      <w:pPr>
        <w:spacing w:after="0" w:line="182" w:lineRule="exact"/>
        <w:rPr>
          <w:rFonts w:ascii="Arial" w:cs="Arial" w:eastAsia="Arial" w:hAnsi="Arial"/>
          <w:sz w:val="20"/>
          <w:szCs w:val="20"/>
          <w:color w:val="auto"/>
        </w:rPr>
      </w:pPr>
    </w:p>
    <w:p>
      <w:pPr>
        <w:jc w:val="both"/>
        <w:ind w:left="-656" w:firstLine="656"/>
        <w:spacing w:after="0" w:line="237" w:lineRule="auto"/>
        <w:tabs>
          <w:tab w:leader="none" w:pos="63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Solely for purposes of any Request for Credit Extension under the Revolving Credit Facility made during the Covenant Suspension Period, the impacts of the COVID-19 pandemic on the business, result of operations or financial condition of MVWC and its Restricted Subsidiaries, taken as</w:t>
      </w:r>
    </w:p>
    <w:p>
      <w:pPr>
        <w:sectPr>
          <w:pgSz w:w="11900" w:h="16838" w:orient="portrait"/>
          <w:cols w:equalWidth="0" w:num="1">
            <w:col w:w="10584"/>
          </w:cols>
          <w:pgMar w:left="976" w:top="1440" w:right="339" w:bottom="1440" w:gutter="0" w:footer="0" w:header="0"/>
        </w:sectPr>
      </w:pPr>
    </w:p>
    <w:bookmarkStart w:id="143" w:name="page144"/>
    <w:bookmarkEnd w:id="143"/>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 whole, will be disregarded for purposes of determining the accuracy of the representation made in Section 5.05(b) of the Credit Agreement to the extent such event or circumstance has been (i) publicly disclosed by MVWC in its securities filings (including, without limitation, any Annual Report on Form 10-K, Quarterly Report on Form 10-Q or Current Report on Form 8-K) prior to the Waiver Effective Date or (ii) disclosed in the “Lender Presentation” (and/or any supplements thereto) provided by MVWC in connection with this Waiver.</w:t>
      </w:r>
    </w:p>
    <w:p>
      <w:pPr>
        <w:spacing w:after="0" w:line="15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It is understood and agreed that (i) upon any breach by the Borrower Representative of the agreements set forth herein, the waiver set forth in clause (a) above and the agreement set forth in clause (c) above shall immediately terminate and (ii) upon delivery of a Covenant Suspension Period Termination Certificate, the waiver and agreements set forth in clauses (a), (b) and (c) above shall immediately terminate; provided, that, notwithstanding the foregoing, (1) the Minimum Liquidity Covenant shall remain in full force and effect until the fiscal month ending December 31, 2021 and (2) failure of the Borrower Representative to deliver the certificate required by Section 2(a)(i) above shall be subject to a five (5) Business Day grace period.</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Consolidated EBITDA Calculation</w:t>
      </w:r>
      <w:r>
        <w:rPr>
          <w:rFonts w:ascii="Arial" w:cs="Arial" w:eastAsia="Arial" w:hAnsi="Arial"/>
          <w:sz w:val="18"/>
          <w:szCs w:val="18"/>
          <w:color w:val="auto"/>
        </w:rPr>
        <w:t>. Upon and following the termination of the Covenant Suspension Period, and solely for the purpose of calculating the Financial Covenant, Consolidated EBITDA shall be (i) with respect to the first applicable Modified Test Period, the greater of (x) Consolidated EBITDA for such Test Period and (y) the product of (A) four and (B) Consolidated EBITDA for the most recently ended fiscal quarter of such Test Period, (ii) with respect to the second applicable Modified Test Period, the greater of (x) Consolidated EBITDA for such Test Period and (y) the product of (A) two and (B) the sum of (1) Consolidated EBITDA for the most recently ended fiscal quarter of such Test Period and (2) Consolidated EBITDA for immediately preceding fiscal quarter and (iii) with respect to the third applicable Modified Test Period, the greater of (x) Consolidated EBITDA for such Test Period and (y) the product of (A) 4/3 and</w:t>
      </w:r>
    </w:p>
    <w:p>
      <w:pPr>
        <w:spacing w:after="0" w:line="1" w:lineRule="exact"/>
        <w:rPr>
          <w:sz w:val="20"/>
          <w:szCs w:val="20"/>
          <w:color w:val="auto"/>
        </w:rPr>
      </w:pPr>
    </w:p>
    <w:p>
      <w:pPr>
        <w:ind w:right="20" w:firstLine="8"/>
        <w:spacing w:after="0" w:line="234" w:lineRule="auto"/>
        <w:tabs>
          <w:tab w:leader="none" w:pos="33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sum of (1) Consolidated EBITDA for the most recently ended fiscal quarter of such Test Period and (2) the sum of Consolidated EBITDA for the two immediately preceding fiscal quarters.</w:t>
      </w:r>
    </w:p>
    <w:p>
      <w:pPr>
        <w:spacing w:after="0" w:line="18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 This Waiver shall become effective on the first date (the “Waiver Effective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when, and only when, each of the applicable conditions set forth below have been satisfied (or waived) in accordance with the terms herein:</w:t>
      </w:r>
    </w:p>
    <w:p>
      <w:pPr>
        <w:spacing w:after="0" w:line="209" w:lineRule="exact"/>
        <w:rPr>
          <w:sz w:val="20"/>
          <w:szCs w:val="20"/>
          <w:color w:val="auto"/>
        </w:rPr>
      </w:pPr>
    </w:p>
    <w:p>
      <w:pPr>
        <w:ind w:left="660" w:firstLine="644"/>
        <w:spacing w:after="0" w:line="246" w:lineRule="auto"/>
        <w:tabs>
          <w:tab w:leader="none" w:pos="19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this Waiver shall have been executed and delivered by the Borrowers, MVWC, the Administrative Agent and Required Revolving Credit Lenders;</w:t>
      </w:r>
    </w:p>
    <w:p>
      <w:pPr>
        <w:spacing w:after="0" w:line="176" w:lineRule="exact"/>
        <w:rPr>
          <w:rFonts w:ascii="Arial" w:cs="Arial" w:eastAsia="Arial" w:hAnsi="Arial"/>
          <w:sz w:val="20"/>
          <w:szCs w:val="20"/>
          <w:color w:val="auto"/>
        </w:rPr>
      </w:pPr>
    </w:p>
    <w:p>
      <w:pPr>
        <w:jc w:val="both"/>
        <w:ind w:left="660" w:firstLine="644"/>
        <w:spacing w:after="0" w:line="256" w:lineRule="auto"/>
        <w:tabs>
          <w:tab w:leader="none" w:pos="1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each Loan Party set forth in the Credit Agreement and in each other Loan Document shall be true and correct in all material respects (except that any representation and warranty that is qualified as to “materiality” or “Material Adverse Effect” shall be true and correct in all respects as so qualified) on and as of the Waiver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references to the “Closing Date” and the “Transactions” in Section 5.15 of the Credit Agreement shall be deemed to mean the “Waiver Effective Date” and the transactions contemplated by this Waiver, respectively and (B) the representation and warranty in Section 5.13 of the Credit Agreement shall apply to the written information furnished by or on behalf of a Loan Party to any Agent or Lender in connection with the transactions contemplated by this Waiver, and (ii) no Default shall exist or would result from the effectiveness of this Waiver and the consummation of the transactions contemplated by this Waiver;</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74" w:lineRule="exact"/>
        <w:rPr>
          <w:sz w:val="20"/>
          <w:szCs w:val="20"/>
          <w:color w:val="auto"/>
        </w:rPr>
      </w:pPr>
    </w:p>
    <w:p>
      <w:pPr>
        <w:jc w:val="both"/>
        <w:ind w:left="660" w:firstLine="644"/>
        <w:spacing w:after="0" w:line="234" w:lineRule="auto"/>
        <w:tabs>
          <w:tab w:leader="none" w:pos="1946"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Administrative Agent shall have received, for the account of each Revolving Credit Lender that submits its consent hereto, a consent fee in an amount equal to 0.05% of the Revolving Credit Commitments held by such Lender immediately prior to the Waiver Effective Date, which consent fee shall be earned, due and payable on, and subject to the occurrence of, the Waiver Effective Date; and</w:t>
      </w:r>
    </w:p>
    <w:p>
      <w:pPr>
        <w:spacing w:after="0" w:line="183" w:lineRule="exact"/>
        <w:rPr>
          <w:rFonts w:ascii="Arial" w:cs="Arial" w:eastAsia="Arial" w:hAnsi="Arial"/>
          <w:sz w:val="20"/>
          <w:szCs w:val="20"/>
          <w:color w:val="auto"/>
        </w:rPr>
      </w:pPr>
    </w:p>
    <w:p>
      <w:pPr>
        <w:ind w:left="660" w:firstLine="644"/>
        <w:spacing w:after="0" w:line="246"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dated as of the Waiver Effective Date and executed by a Responsible Officer of the Borrower Representative as to the matters set forth in Section 4(b) above.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Acknowledgment and Confirmation</w:t>
      </w:r>
      <w:r>
        <w:rPr>
          <w:rFonts w:ascii="Arial" w:cs="Arial" w:eastAsia="Arial" w:hAnsi="Arial"/>
          <w:sz w:val="19"/>
          <w:szCs w:val="19"/>
          <w:color w:val="auto"/>
        </w:rPr>
        <w:t>. MVWC and each of the Borrowers hereby confirm and agree, on behalf of each of the Loan Parties, with respect to each Loan Document to which such Loan Parties are party to, that (i) all of their obligations, liabilities and indebtedness under such Loan Document shall remain in full force and effect on a continuous basis regardless of the effectiveness of this Waiver and (ii) all of the Liens and security interests created and arising under such Loan Document remain in full force and effect on a continuous basis, and the perfected status and priority of each such Lien and security interest continues in full force and effect on a continuous basis, unimpaired, uninterrupted and undischarged, regardless of the effectiveness of this Waiver, as collateral security for its obligations, liabilities and indebtedness under the Credit Agreement and related guarantees.</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Expenses</w:t>
      </w:r>
      <w:r>
        <w:rPr>
          <w:rFonts w:ascii="Arial" w:cs="Arial" w:eastAsia="Arial" w:hAnsi="Arial"/>
          <w:sz w:val="20"/>
          <w:szCs w:val="20"/>
          <w:color w:val="auto"/>
        </w:rPr>
        <w:t>. Each of the Loan Parties hereby reconfirms its respective obligations pursuant to Section 10.04 of the Credit Agreement to pay all reasonable and documented or invoiced out-of-pocket costs and expenses incurred by the Administrative Agent in connection with this Waiver.</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Waiver may not be amended, modified or waived except in accordance with Section 10.01 of the Credit Agreement.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Waiver, the Credit Agreement, as waived hereby,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and thereof. Except as expressly set forth herein, this Waiver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all of which are ratified and affirmed in all respects and shall continue in full force and effect. It is understood and agreed that each reference in each Loan Document to the Credit Agreement, whether direct or indirect, shall hereafter be deemed to be a reference to the Credit Agreement as waived hereby. This Waiver shall not constitute a novation of any amount owing under the Credit Agreement and all amounts owing in respect of principal, interest, fees and other amounts pursuant to the Credit Agreement and the other Loan Documents shall, to the extent not paid or exchanged on or prior to the Waiver Effective Date, shall continue to be owing under the Credit Agreement or such other Loan Documents until paid in accordance therewith. This Waiver is a “Loan Document” for all purposes under Credit Agreement and the other Loan Documents, and the terms and provisions of the Credit Agreement relating to Loan Documents shall apply hereto.</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WAIVER SHALL BE GOVERNED BY, AND CONSTRUED IN ACCORDANCE WITH, THE LAWS OF THE STATE OF NEW YORK. SECTIONS 10.14 AND 10.15 OF THE CREDIT AGREEMENT ARE HEREBY INCORPORATED BY REFERENCE INTO THIS WAIVER MUTATIS MUTANDIS AND SHALL APPLY HERETO.</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contained in this Waiver should be held invalid, illegal or unenforceable in any respect, the validity, legality and enforceability of the remaining provisions contained herein and therein, to the fullest extent permitted by applicable law,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This Waiver may be executed in counterparts (and by different parties hereto on different counterparts), each of which shall constitute an original but all of which when taken together shall constitute a single contract. Delivery of an executed signature page to this Waiver by facsimile transmission or other customary means of electronic transmission (e.g., “pdf”) shall be as effective as delivery of an originally signed counterpart of this Waiver. The words “delivery”, “execute,” “execution,” “signed,” “signature,” and words of like import in this Waiver and any document executed in connection herewith shall be deemed to include electronic signatures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upon the request of any party, any electronic signature shall be promptly followed by such manually executed counterpart.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2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WITNESS WHEREOF, each of the undersigned has caused its duly authorized officer to execute and deliver this Waiver as of the date first written above.</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18"/>
          <w:szCs w:val="18"/>
          <w:color w:val="auto"/>
        </w:rPr>
        <w:t>By:</w:t>
        <w:tab/>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Joseph J. Bramuchi</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MARRIOTT OWNERSHIP RESORTS, INC.,</w:t>
      </w:r>
    </w:p>
    <w:p>
      <w:pPr>
        <w:ind w:left="4540"/>
        <w:spacing w:after="0"/>
        <w:rPr>
          <w:sz w:val="20"/>
          <w:szCs w:val="20"/>
          <w:color w:val="auto"/>
        </w:rPr>
      </w:pPr>
      <w:r>
        <w:rPr>
          <w:rFonts w:ascii="Arial" w:cs="Arial" w:eastAsia="Arial" w:hAnsi="Arial"/>
          <w:sz w:val="18"/>
          <w:szCs w:val="18"/>
          <w:b w:val="1"/>
          <w:bCs w:val="1"/>
          <w:color w:val="auto"/>
        </w:rPr>
        <w:t>as the MVW Borrower</w:t>
      </w:r>
    </w:p>
    <w:p>
      <w:pPr>
        <w:spacing w:after="0" w:line="7"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18"/>
          <w:szCs w:val="18"/>
          <w:color w:val="auto"/>
        </w:rPr>
        <w:t>By:</w:t>
        <w:tab/>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Joseph J. Bramuchi</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Waiver to Credit Agreement]</w:t>
      </w:r>
    </w:p>
    <w:p>
      <w:pPr>
        <w:sectPr>
          <w:pgSz w:w="11900" w:h="16838" w:orient="portrait"/>
          <w:cols w:equalWidth="0" w:num="1">
            <w:col w:w="11220"/>
          </w:cols>
          <w:pgMar w:left="320" w:top="1440" w:right="359" w:bottom="1440" w:gutter="0" w:footer="0" w:header="0"/>
        </w:sectPr>
      </w:pPr>
    </w:p>
    <w:bookmarkStart w:id="147" w:name="page148"/>
    <w:bookmarkEnd w:id="147"/>
    <w:p>
      <w:pPr>
        <w:ind w:left="3420"/>
        <w:spacing w:after="0"/>
        <w:rPr>
          <w:sz w:val="20"/>
          <w:szCs w:val="20"/>
          <w:color w:val="auto"/>
        </w:rPr>
      </w:pPr>
      <w:r>
        <w:rPr>
          <w:rFonts w:ascii="Arial" w:cs="Arial" w:eastAsia="Arial" w:hAnsi="Arial"/>
          <w:sz w:val="18"/>
          <w:szCs w:val="18"/>
          <w:b w:val="1"/>
          <w:bCs w:val="1"/>
          <w:color w:val="auto"/>
        </w:rPr>
        <w:t>JPMORGAN CHASE BANK, N.A.,</w:t>
      </w:r>
    </w:p>
    <w:p>
      <w:pPr>
        <w:ind w:left="3420"/>
        <w:spacing w:after="0"/>
        <w:rPr>
          <w:sz w:val="20"/>
          <w:szCs w:val="20"/>
          <w:color w:val="auto"/>
        </w:rPr>
      </w:pPr>
      <w:r>
        <w:rPr>
          <w:rFonts w:ascii="Arial" w:cs="Arial" w:eastAsia="Arial" w:hAnsi="Arial"/>
          <w:sz w:val="16"/>
          <w:szCs w:val="16"/>
          <w:b w:val="1"/>
          <w:bCs w:val="1"/>
          <w:color w:val="auto"/>
        </w:rPr>
        <w:t>as Administrative Agent and a Revolving Credit Lender</w:t>
      </w:r>
    </w:p>
    <w:p>
      <w:pPr>
        <w:spacing w:after="0" w:line="30"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Jeffrey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Jeffrey Miller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48" w:name="page149"/>
    <w:bookmarkEnd w:id="148"/>
    <w:p>
      <w:pPr>
        <w:ind w:left="3420"/>
        <w:spacing w:after="0"/>
        <w:rPr>
          <w:sz w:val="20"/>
          <w:szCs w:val="20"/>
          <w:color w:val="auto"/>
        </w:rPr>
      </w:pPr>
      <w:r>
        <w:rPr>
          <w:rFonts w:ascii="Arial" w:cs="Arial" w:eastAsia="Arial" w:hAnsi="Arial"/>
          <w:sz w:val="18"/>
          <w:szCs w:val="18"/>
          <w:b w:val="1"/>
          <w:bCs w:val="1"/>
          <w:color w:val="auto"/>
        </w:rPr>
        <w:t>BANK OF AMERICA, N.A.,</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Suzanne E. Pickett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Suzanne E. Pickett</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49" w:name="page150"/>
    <w:bookmarkEnd w:id="149"/>
    <w:p>
      <w:pPr>
        <w:ind w:left="3420"/>
        <w:spacing w:after="0"/>
        <w:rPr>
          <w:sz w:val="20"/>
          <w:szCs w:val="20"/>
          <w:color w:val="auto"/>
        </w:rPr>
      </w:pPr>
      <w:r>
        <w:rPr>
          <w:rFonts w:ascii="Arial" w:cs="Arial" w:eastAsia="Arial" w:hAnsi="Arial"/>
          <w:sz w:val="18"/>
          <w:szCs w:val="18"/>
          <w:b w:val="1"/>
          <w:bCs w:val="1"/>
          <w:color w:val="auto"/>
        </w:rPr>
        <w:t>HSBC BANK USA, N.A.,</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Jay 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Jay Fort</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0" w:name="page151"/>
    <w:bookmarkEnd w:id="150"/>
    <w:p>
      <w:pPr>
        <w:ind w:left="3420"/>
        <w:spacing w:after="0"/>
        <w:rPr>
          <w:sz w:val="20"/>
          <w:szCs w:val="20"/>
          <w:color w:val="auto"/>
        </w:rPr>
      </w:pPr>
      <w:r>
        <w:rPr>
          <w:rFonts w:ascii="Arial" w:cs="Arial" w:eastAsia="Arial" w:hAnsi="Arial"/>
          <w:sz w:val="18"/>
          <w:szCs w:val="18"/>
          <w:b w:val="1"/>
          <w:bCs w:val="1"/>
          <w:color w:val="auto"/>
        </w:rPr>
        <w:t>City National Bank of Florida,</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Erik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Erik Weiner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Title: Market President Central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1" w:name="page152"/>
    <w:bookmarkEnd w:id="151"/>
    <w:p>
      <w:pPr>
        <w:ind w:left="3420"/>
        <w:spacing w:after="0"/>
        <w:rPr>
          <w:sz w:val="20"/>
          <w:szCs w:val="20"/>
          <w:color w:val="auto"/>
        </w:rPr>
      </w:pPr>
      <w:r>
        <w:rPr>
          <w:rFonts w:ascii="Arial" w:cs="Arial" w:eastAsia="Arial" w:hAnsi="Arial"/>
          <w:sz w:val="18"/>
          <w:szCs w:val="18"/>
          <w:b w:val="1"/>
          <w:bCs w:val="1"/>
          <w:color w:val="auto"/>
        </w:rPr>
        <w:t>TRUIST SECURITIES, INC.</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J. Matthew Rowand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 Matthew Rowand</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2" w:name="page153"/>
    <w:bookmarkEnd w:id="152"/>
    <w:p>
      <w:pPr>
        <w:ind w:left="3420"/>
        <w:spacing w:after="0"/>
        <w:rPr>
          <w:sz w:val="20"/>
          <w:szCs w:val="20"/>
          <w:color w:val="auto"/>
        </w:rPr>
      </w:pPr>
      <w:r>
        <w:rPr>
          <w:rFonts w:ascii="Arial" w:cs="Arial" w:eastAsia="Arial" w:hAnsi="Arial"/>
          <w:sz w:val="18"/>
          <w:szCs w:val="18"/>
          <w:b w:val="1"/>
          <w:bCs w:val="1"/>
          <w:color w:val="auto"/>
        </w:rPr>
        <w:t>U.S. Bank National Association,</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Steven L. Sawyer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3" w:name="page154"/>
    <w:bookmarkEnd w:id="153"/>
    <w:p>
      <w:pPr>
        <w:ind w:left="3420"/>
        <w:spacing w:after="0"/>
        <w:rPr>
          <w:sz w:val="20"/>
          <w:szCs w:val="20"/>
          <w:color w:val="auto"/>
        </w:rPr>
      </w:pPr>
      <w:r>
        <w:rPr>
          <w:rFonts w:ascii="Arial" w:cs="Arial" w:eastAsia="Arial" w:hAnsi="Arial"/>
          <w:sz w:val="17"/>
          <w:szCs w:val="17"/>
          <w:b w:val="1"/>
          <w:bCs w:val="1"/>
          <w:color w:val="auto"/>
        </w:rPr>
        <w:t>CREDIT SUISSE AG, CAYMAN ISLANDS BRANCH,</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William 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William O'Day</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Authorized Signatory</w:t>
      </w:r>
    </w:p>
    <w:p>
      <w:pPr>
        <w:spacing w:after="0" w:line="292"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 Andrew Maletta</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17" w:right="1440" w:bottom="1440" w:gutter="0" w:footer="0" w:header="0"/>
        </w:sectPr>
      </w:pPr>
    </w:p>
    <w:bookmarkStart w:id="154" w:name="page155"/>
    <w:bookmarkEnd w:id="154"/>
    <w:p>
      <w:pPr>
        <w:ind w:left="3420"/>
        <w:spacing w:after="0"/>
        <w:rPr>
          <w:sz w:val="20"/>
          <w:szCs w:val="20"/>
          <w:color w:val="auto"/>
        </w:rPr>
      </w:pPr>
      <w:r>
        <w:rPr>
          <w:rFonts w:ascii="Arial" w:cs="Arial" w:eastAsia="Arial" w:hAnsi="Arial"/>
          <w:sz w:val="18"/>
          <w:szCs w:val="18"/>
          <w:b w:val="1"/>
          <w:bCs w:val="1"/>
          <w:color w:val="auto"/>
        </w:rPr>
        <w:t>First Hawaiian Bank,</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Derek Chang</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5" w:name="page156"/>
    <w:bookmarkEnd w:id="155"/>
    <w:p>
      <w:pPr>
        <w:ind w:left="3420"/>
        <w:spacing w:after="0"/>
        <w:rPr>
          <w:sz w:val="20"/>
          <w:szCs w:val="20"/>
          <w:color w:val="auto"/>
        </w:rPr>
      </w:pPr>
      <w:r>
        <w:rPr>
          <w:rFonts w:ascii="Arial" w:cs="Arial" w:eastAsia="Arial" w:hAnsi="Arial"/>
          <w:sz w:val="17"/>
          <w:szCs w:val="17"/>
          <w:b w:val="1"/>
          <w:bCs w:val="1"/>
          <w:color w:val="auto"/>
        </w:rPr>
        <w:t>DEUTSCHE BANK AG NEW YORK BRANCH,</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Michael Strobel</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michael-p.strobel@db.com</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212-250-0939</w:t>
      </w:r>
    </w:p>
    <w:p>
      <w:pPr>
        <w:spacing w:after="0" w:line="200" w:lineRule="exact"/>
        <w:rPr>
          <w:sz w:val="20"/>
          <w:szCs w:val="20"/>
          <w:color w:val="auto"/>
        </w:rPr>
      </w:pPr>
    </w:p>
    <w:p>
      <w:pPr>
        <w:spacing w:after="0" w:line="362"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philip.tancorra@db.com</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212-250-6576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17" w:right="1440" w:bottom="1440" w:gutter="0" w:footer="0" w:header="0"/>
        </w:sectPr>
      </w:pPr>
    </w:p>
    <w:bookmarkStart w:id="156" w:name="page157"/>
    <w:bookmarkEnd w:id="156"/>
    <w:p>
      <w:pPr>
        <w:ind w:left="3420"/>
        <w:spacing w:after="0"/>
        <w:rPr>
          <w:sz w:val="20"/>
          <w:szCs w:val="20"/>
          <w:color w:val="auto"/>
        </w:rPr>
      </w:pPr>
      <w:r>
        <w:rPr>
          <w:rFonts w:ascii="Arial" w:cs="Arial" w:eastAsia="Arial" w:hAnsi="Arial"/>
          <w:sz w:val="18"/>
          <w:szCs w:val="18"/>
          <w:b w:val="1"/>
          <w:bCs w:val="1"/>
          <w:color w:val="auto"/>
        </w:rPr>
        <w:t>BANK OF HAWAII,</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Terri L.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Terri L. Okada</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7" w:name="page158"/>
    <w:bookmarkEnd w:id="157"/>
    <w:p>
      <w:pPr>
        <w:ind w:left="3420"/>
        <w:spacing w:after="0"/>
        <w:rPr>
          <w:sz w:val="20"/>
          <w:szCs w:val="20"/>
          <w:color w:val="auto"/>
        </w:rPr>
      </w:pPr>
      <w:r>
        <w:rPr>
          <w:rFonts w:ascii="Arial" w:cs="Arial" w:eastAsia="Arial" w:hAnsi="Arial"/>
          <w:sz w:val="18"/>
          <w:szCs w:val="18"/>
          <w:b w:val="1"/>
          <w:bCs w:val="1"/>
          <w:color w:val="auto"/>
        </w:rPr>
        <w:t>Fifth Third Bank, N.A.,</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7">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Andy Tessema</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58" w:name="page159"/>
    <w:bookmarkEnd w:id="158"/>
    <w:p>
      <w:pPr>
        <w:spacing w:after="0" w:line="20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Synovus Bank,</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Michael Sawicki</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40" w:right="1440" w:bottom="1440" w:gutter="0" w:footer="0" w:header="0"/>
        </w:sectPr>
      </w:pPr>
    </w:p>
    <w:bookmarkStart w:id="159" w:name="page160"/>
    <w:bookmarkEnd w:id="159"/>
    <w:p>
      <w:pPr>
        <w:ind w:left="3420"/>
        <w:spacing w:after="0"/>
        <w:rPr>
          <w:sz w:val="20"/>
          <w:szCs w:val="20"/>
          <w:color w:val="auto"/>
        </w:rPr>
      </w:pPr>
      <w:r>
        <w:rPr>
          <w:rFonts w:ascii="Arial" w:cs="Arial" w:eastAsia="Arial" w:hAnsi="Arial"/>
          <w:sz w:val="18"/>
          <w:szCs w:val="18"/>
          <w:b w:val="1"/>
          <w:bCs w:val="1"/>
          <w:color w:val="auto"/>
        </w:rPr>
        <w:t>THE BANK OF NEW YORK MELLON,</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Rick Laudisi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9">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Rick Laudisi</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60" w:name="page161"/>
    <w:bookmarkEnd w:id="160"/>
    <w:p>
      <w:pPr>
        <w:ind w:left="3420"/>
        <w:spacing w:after="0"/>
        <w:rPr>
          <w:sz w:val="20"/>
          <w:szCs w:val="20"/>
          <w:color w:val="auto"/>
        </w:rPr>
      </w:pPr>
      <w:r>
        <w:rPr>
          <w:rFonts w:ascii="Arial" w:cs="Arial" w:eastAsia="Arial" w:hAnsi="Arial"/>
          <w:sz w:val="18"/>
          <w:szCs w:val="18"/>
          <w:b w:val="1"/>
          <w:bCs w:val="1"/>
          <w:color w:val="auto"/>
        </w:rPr>
        <w:t>MUFG Union Bank, N.A.,</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Deborah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0">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Deborah L. White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06" w:right="1440" w:bottom="1440" w:gutter="0" w:footer="0" w:header="0"/>
        </w:sectPr>
      </w:pPr>
    </w:p>
    <w:bookmarkStart w:id="161" w:name="page162"/>
    <w:bookmarkEnd w:id="161"/>
    <w:p>
      <w:pPr>
        <w:ind w:left="3420"/>
        <w:spacing w:after="0"/>
        <w:rPr>
          <w:sz w:val="20"/>
          <w:szCs w:val="20"/>
          <w:color w:val="auto"/>
        </w:rPr>
      </w:pPr>
      <w:r>
        <w:rPr>
          <w:rFonts w:ascii="Arial" w:cs="Arial" w:eastAsia="Arial" w:hAnsi="Arial"/>
          <w:sz w:val="17"/>
          <w:szCs w:val="17"/>
          <w:b w:val="1"/>
          <w:bCs w:val="1"/>
          <w:color w:val="auto"/>
        </w:rPr>
        <w:t>WELLS FARGO BANK, NATIONAL ASSOCIATION,</w:t>
      </w:r>
    </w:p>
    <w:p>
      <w:pPr>
        <w:ind w:left="3420"/>
        <w:spacing w:after="0"/>
        <w:rPr>
          <w:sz w:val="20"/>
          <w:szCs w:val="20"/>
          <w:color w:val="auto"/>
        </w:rPr>
      </w:pPr>
      <w:r>
        <w:rPr>
          <w:rFonts w:ascii="Arial" w:cs="Arial" w:eastAsia="Arial" w:hAnsi="Arial"/>
          <w:sz w:val="18"/>
          <w:szCs w:val="18"/>
          <w:b w:val="1"/>
          <w:bCs w:val="1"/>
          <w:color w:val="auto"/>
        </w:rPr>
        <w:t>as a Revolving Credit Lender</w:t>
      </w:r>
    </w:p>
    <w:p>
      <w:pPr>
        <w:spacing w:after="0" w:line="7" w:lineRule="exact"/>
        <w:rPr>
          <w:sz w:val="20"/>
          <w:szCs w:val="20"/>
          <w:color w:val="auto"/>
        </w:rPr>
      </w:pPr>
    </w:p>
    <w:p>
      <w:pPr>
        <w:ind w:left="3420"/>
        <w:spacing w:after="0"/>
        <w:tabs>
          <w:tab w:leader="none" w:pos="3940" w:val="left"/>
        </w:tabs>
        <w:rPr>
          <w:sz w:val="20"/>
          <w:szCs w:val="20"/>
          <w:color w:val="auto"/>
        </w:rPr>
      </w:pPr>
      <w:r>
        <w:rPr>
          <w:rFonts w:ascii="Arial" w:cs="Arial" w:eastAsia="Arial" w:hAnsi="Arial"/>
          <w:sz w:val="18"/>
          <w:szCs w:val="18"/>
          <w:color w:val="auto"/>
        </w:rPr>
        <w:t>By:</w:t>
        <w:tab/>
        <w:t>/s/ Denis Waltrich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9173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1">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Denis Waltrich</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Waiver to Credit Agreement]</w:t>
      </w:r>
    </w:p>
    <w:p>
      <w:pPr>
        <w:sectPr>
          <w:pgSz w:w="11900" w:h="16838" w:orient="portrait"/>
          <w:cols w:equalWidth="0" w:num="1">
            <w:col w:w="9019"/>
          </w:cols>
          <w:pgMar w:left="1440" w:top="1417"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680" w:type="dxa"/>
            <w:vAlign w:val="bottom"/>
            <w:gridSpan w:val="3"/>
            <w:vMerge w:val="restart"/>
          </w:tcPr>
          <w:p>
            <w:pPr>
              <w:jc w:val="center"/>
              <w:ind w:left="2330"/>
              <w:spacing w:after="0"/>
              <w:rPr>
                <w:sz w:val="20"/>
                <w:szCs w:val="20"/>
                <w:color w:val="auto"/>
              </w:rPr>
            </w:pPr>
            <w:r>
              <w:rPr>
                <w:rFonts w:ascii="Arial" w:cs="Arial" w:eastAsia="Arial" w:hAnsi="Arial"/>
                <w:sz w:val="18"/>
                <w:szCs w:val="18"/>
                <w:b w:val="1"/>
                <w:bCs w:val="1"/>
                <w:color w:val="auto"/>
              </w:rPr>
              <w:t>MARRIOTT VACATIONS WORLDWIDE CORPORATION</w:t>
            </w:r>
          </w:p>
        </w:tc>
        <w:tc>
          <w:tcPr>
            <w:tcW w:w="2980" w:type="dxa"/>
            <w:vAlign w:val="bottom"/>
            <w:gridSpan w:val="2"/>
          </w:tcPr>
          <w:p>
            <w:pPr>
              <w:ind w:left="20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7680" w:type="dxa"/>
            <w:vAlign w:val="bottom"/>
            <w:gridSpan w:val="3"/>
            <w:vMerge w:val="continue"/>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680" w:type="dxa"/>
            <w:vAlign w:val="bottom"/>
            <w:gridSpan w:val="3"/>
          </w:tcPr>
          <w:p>
            <w:pPr>
              <w:jc w:val="center"/>
              <w:ind w:left="2310"/>
              <w:spacing w:after="0"/>
              <w:rPr>
                <w:sz w:val="20"/>
                <w:szCs w:val="20"/>
                <w:color w:val="auto"/>
              </w:rPr>
            </w:pPr>
            <w:r>
              <w:rPr>
                <w:rFonts w:ascii="Arial" w:cs="Arial" w:eastAsia="Arial" w:hAnsi="Arial"/>
                <w:sz w:val="18"/>
                <w:szCs w:val="18"/>
                <w:b w:val="1"/>
                <w:bCs w:val="1"/>
                <w:color w:val="auto"/>
              </w:rPr>
              <w:t>SIGNIFICANT SUBSIDIARIES</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680" w:type="dxa"/>
            <w:vAlign w:val="bottom"/>
            <w:gridSpan w:val="3"/>
          </w:tcPr>
          <w:p>
            <w:pPr>
              <w:jc w:val="center"/>
              <w:ind w:left="2310"/>
              <w:spacing w:after="0"/>
              <w:rPr>
                <w:sz w:val="20"/>
                <w:szCs w:val="20"/>
                <w:color w:val="auto"/>
              </w:rPr>
            </w:pPr>
            <w:r>
              <w:rPr>
                <w:rFonts w:ascii="Arial" w:cs="Arial" w:eastAsia="Arial" w:hAnsi="Arial"/>
                <w:sz w:val="18"/>
                <w:szCs w:val="18"/>
                <w:color w:val="auto"/>
                <w:w w:val="89"/>
              </w:rPr>
              <w:t>(as of December 31, 2020)</w:t>
            </w: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Subsidiaries Organized in the United States</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431"/>
              <w:spacing w:after="0"/>
              <w:rPr>
                <w:sz w:val="20"/>
                <w:szCs w:val="20"/>
                <w:color w:val="auto"/>
              </w:rPr>
            </w:pPr>
            <w:r>
              <w:rPr>
                <w:rFonts w:ascii="Arial" w:cs="Arial" w:eastAsia="Arial" w:hAnsi="Arial"/>
                <w:sz w:val="16"/>
                <w:szCs w:val="16"/>
                <w:b w:val="1"/>
                <w:bCs w:val="1"/>
                <w:color w:val="auto"/>
                <w:w w:val="92"/>
              </w:rPr>
              <w:t>Jurisdiction of Organization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Aqua-Aston Hospitality LLC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Flex Collection LLC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IIC Holdings Incorporated</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ILG Management, LLC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ILG Shared Ownership, Inc.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Interval Holdings, Inc.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78"/>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Interval International, Inc.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377"/>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Marriott Ownership Resorts, Inc.</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29"/>
        </w:trPr>
        <w:tc>
          <w:tcPr>
            <w:tcW w:w="8260" w:type="dxa"/>
            <w:vAlign w:val="bottom"/>
            <w:gridSpan w:val="4"/>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Deck 12</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Declan</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Grande Pines Golf Club</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Grand Residence by Marriott</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Grand Residences by Marriott</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Horizons by Marriott Vacation Club</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International Golf Club</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Marriott Golf Academy</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 Vacation Club</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 Vacation Club International</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Marriott's Custom House</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Marriott’s Mountainside Resort</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Marriott’s Summit Watch</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Marriott’s Waiohai Beach Resort</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The Declan Suites</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The Declan Suites San Diego</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4"/>
          </w:tcPr>
          <w:p>
            <w:pPr>
              <w:ind w:left="480"/>
              <w:spacing w:after="0"/>
              <w:rPr>
                <w:sz w:val="20"/>
                <w:szCs w:val="20"/>
                <w:color w:val="auto"/>
              </w:rPr>
            </w:pPr>
            <w:r>
              <w:rPr>
                <w:rFonts w:ascii="Arial" w:cs="Arial" w:eastAsia="Arial" w:hAnsi="Arial"/>
                <w:sz w:val="18"/>
                <w:szCs w:val="18"/>
                <w:color w:val="auto"/>
              </w:rPr>
              <w:t>• The Marketplace</w:t>
            </w: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680" w:type="dxa"/>
            <w:vAlign w:val="bottom"/>
            <w:gridSpan w:val="3"/>
          </w:tcPr>
          <w:p>
            <w:pPr>
              <w:ind w:left="40"/>
              <w:spacing w:after="0"/>
              <w:rPr>
                <w:sz w:val="20"/>
                <w:szCs w:val="20"/>
                <w:color w:val="auto"/>
              </w:rPr>
            </w:pPr>
            <w:r>
              <w:rPr>
                <w:rFonts w:ascii="Arial" w:cs="Arial" w:eastAsia="Arial" w:hAnsi="Arial"/>
                <w:sz w:val="18"/>
                <w:szCs w:val="18"/>
                <w:color w:val="auto"/>
              </w:rPr>
              <w:t>The Pool Patio and Grill</w:t>
            </w: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260" w:type="dxa"/>
            <w:vAlign w:val="bottom"/>
            <w:gridSpan w:val="4"/>
          </w:tcPr>
          <w:p>
            <w:pPr>
              <w:ind w:left="20"/>
              <w:spacing w:after="0"/>
              <w:rPr>
                <w:sz w:val="20"/>
                <w:szCs w:val="20"/>
                <w:color w:val="auto"/>
              </w:rPr>
            </w:pPr>
            <w:r>
              <w:rPr>
                <w:rFonts w:ascii="Arial" w:cs="Arial" w:eastAsia="Arial" w:hAnsi="Arial"/>
                <w:sz w:val="18"/>
                <w:szCs w:val="18"/>
                <w:color w:val="auto"/>
              </w:rPr>
              <w:t>Marriott Resorts Hospitality Corporation</w:t>
            </w:r>
          </w:p>
        </w:tc>
        <w:tc>
          <w:tcPr>
            <w:tcW w:w="298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South Carolina</w:t>
            </w:r>
          </w:p>
        </w:tc>
        <w:tc>
          <w:tcPr>
            <w:tcW w:w="0" w:type="dxa"/>
            <w:vAlign w:val="bottom"/>
          </w:tcPr>
          <w:p>
            <w:pPr>
              <w:spacing w:after="0"/>
              <w:rPr>
                <w:sz w:val="1"/>
                <w:szCs w:val="1"/>
                <w:color w:val="auto"/>
              </w:rPr>
            </w:pPr>
          </w:p>
        </w:tc>
      </w:tr>
      <w:tr>
        <w:trPr>
          <w:trHeight w:val="230"/>
        </w:trPr>
        <w:tc>
          <w:tcPr>
            <w:tcW w:w="8260" w:type="dxa"/>
            <w:vAlign w:val="bottom"/>
            <w:gridSpan w:val="4"/>
          </w:tcPr>
          <w:p>
            <w:pPr>
              <w:ind w:left="220"/>
              <w:spacing w:after="0"/>
              <w:rPr>
                <w:sz w:val="20"/>
                <w:szCs w:val="20"/>
                <w:color w:val="auto"/>
              </w:rPr>
            </w:pPr>
            <w:r>
              <w:rPr>
                <w:rFonts w:ascii="Arial" w:cs="Arial" w:eastAsia="Arial" w:hAnsi="Arial"/>
                <w:sz w:val="18"/>
                <w:szCs w:val="18"/>
                <w:color w:val="auto"/>
              </w:rPr>
              <w:t>Entity also does business under the names:</w:t>
            </w: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22" w:lineRule="exact"/>
        <w:rPr>
          <w:rFonts w:ascii="Arial" w:cs="Arial" w:eastAsia="Arial" w:hAnsi="Arial"/>
          <w:sz w:val="18"/>
          <w:szCs w:val="18"/>
          <w:color w:val="auto"/>
        </w:rPr>
      </w:pPr>
    </w:p>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22" w:lineRule="exact"/>
        <w:rPr>
          <w:rFonts w:ascii="Arial" w:cs="Arial" w:eastAsia="Arial" w:hAnsi="Arial"/>
          <w:sz w:val="18"/>
          <w:szCs w:val="18"/>
          <w:color w:val="auto"/>
        </w:rPr>
      </w:pPr>
    </w:p>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Marriott Vacation Club International Inc.</w:t>
      </w:r>
    </w:p>
    <w:p>
      <w:pPr>
        <w:spacing w:after="0" w:line="22" w:lineRule="exact"/>
        <w:rPr>
          <w:rFonts w:ascii="Arial" w:cs="Arial" w:eastAsia="Arial" w:hAnsi="Arial"/>
          <w:sz w:val="18"/>
          <w:szCs w:val="18"/>
          <w:color w:val="auto"/>
        </w:rPr>
      </w:pPr>
    </w:p>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Marriott Vacation Club, New York City</w:t>
      </w:r>
    </w:p>
    <w:p>
      <w:pPr>
        <w:spacing w:after="0" w:line="22" w:lineRule="exact"/>
        <w:rPr>
          <w:rFonts w:ascii="Arial" w:cs="Arial" w:eastAsia="Arial" w:hAnsi="Arial"/>
          <w:sz w:val="18"/>
          <w:szCs w:val="18"/>
          <w:color w:val="auto"/>
        </w:rPr>
      </w:pPr>
    </w:p>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Marriott Vacation Club, South Beach</w:t>
      </w:r>
    </w:p>
    <w:p>
      <w:pPr>
        <w:spacing w:after="0" w:line="22" w:lineRule="exact"/>
        <w:rPr>
          <w:rFonts w:ascii="Arial" w:cs="Arial" w:eastAsia="Arial" w:hAnsi="Arial"/>
          <w:sz w:val="18"/>
          <w:szCs w:val="18"/>
          <w:color w:val="auto"/>
        </w:rPr>
      </w:pPr>
    </w:p>
    <w:p>
      <w:pPr>
        <w:ind w:left="620" w:hanging="149"/>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Marriott Vacation Club Pulse, New York City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3"/>
        </w:trPr>
        <w:tc>
          <w:tcPr>
            <w:tcW w:w="7740" w:type="dxa"/>
            <w:vAlign w:val="bottom"/>
            <w:gridSpan w:val="3"/>
          </w:tcPr>
          <w:p>
            <w:pPr>
              <w:ind w:left="20"/>
              <w:spacing w:after="0"/>
              <w:rPr>
                <w:sz w:val="20"/>
                <w:szCs w:val="20"/>
                <w:color w:val="auto"/>
              </w:rPr>
            </w:pPr>
            <w:r>
              <w:rPr>
                <w:rFonts w:ascii="Arial" w:cs="Arial" w:eastAsia="Arial" w:hAnsi="Arial"/>
                <w:sz w:val="16"/>
                <w:szCs w:val="16"/>
                <w:b w:val="1"/>
                <w:bCs w:val="1"/>
                <w:color w:val="auto"/>
              </w:rPr>
              <w:t>Subsidiaries Organized in the United States</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225"/>
        </w:trPr>
        <w:tc>
          <w:tcPr>
            <w:tcW w:w="764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color w:val="auto"/>
              </w:rPr>
              <w:t>• Marriott’s Custom House</w:t>
            </w:r>
          </w:p>
        </w:tc>
        <w:tc>
          <w:tcPr>
            <w:tcW w:w="100" w:type="dxa"/>
            <w:vAlign w:val="bottom"/>
          </w:tcPr>
          <w:p>
            <w:pPr>
              <w:spacing w:after="0"/>
              <w:rPr>
                <w:sz w:val="19"/>
                <w:szCs w:val="19"/>
                <w:color w:val="auto"/>
              </w:rPr>
            </w:pPr>
          </w:p>
        </w:tc>
        <w:tc>
          <w:tcPr>
            <w:tcW w:w="3480" w:type="dxa"/>
            <w:vAlign w:val="bottom"/>
            <w:tcBorders>
              <w:top w:val="single" w:sz="8" w:color="auto"/>
            </w:tcBorders>
          </w:tcPr>
          <w:p>
            <w:pPr>
              <w:spacing w:after="0"/>
              <w:rPr>
                <w:sz w:val="19"/>
                <w:szCs w:val="19"/>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Marriott’s Legends Edge at Bay Point</w:t>
            </w:r>
          </w:p>
        </w:tc>
        <w:tc>
          <w:tcPr>
            <w:tcW w:w="3480" w:type="dxa"/>
            <w:vAlign w:val="bottom"/>
          </w:tcPr>
          <w:p>
            <w:pPr>
              <w:spacing w:after="0"/>
              <w:rPr>
                <w:sz w:val="19"/>
                <w:szCs w:val="19"/>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Marriott’s Oceana Palms</w:t>
            </w:r>
          </w:p>
        </w:tc>
        <w:tc>
          <w:tcPr>
            <w:tcW w:w="3480" w:type="dxa"/>
            <w:vAlign w:val="bottom"/>
          </w:tcPr>
          <w:p>
            <w:pPr>
              <w:spacing w:after="0"/>
              <w:rPr>
                <w:sz w:val="19"/>
                <w:szCs w:val="19"/>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Marriott’s Villas at Doral</w:t>
            </w:r>
          </w:p>
        </w:tc>
        <w:tc>
          <w:tcPr>
            <w:tcW w:w="3480" w:type="dxa"/>
            <w:vAlign w:val="bottom"/>
          </w:tcPr>
          <w:p>
            <w:pPr>
              <w:spacing w:after="0"/>
              <w:rPr>
                <w:sz w:val="19"/>
                <w:szCs w:val="19"/>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Marriott’s Willow Ridge Lodge</w:t>
            </w:r>
          </w:p>
        </w:tc>
        <w:tc>
          <w:tcPr>
            <w:tcW w:w="3480" w:type="dxa"/>
            <w:vAlign w:val="bottom"/>
          </w:tcPr>
          <w:p>
            <w:pPr>
              <w:spacing w:after="0"/>
              <w:rPr>
                <w:sz w:val="19"/>
                <w:szCs w:val="19"/>
                <w:color w:val="auto"/>
              </w:rPr>
            </w:pPr>
          </w:p>
        </w:tc>
      </w:tr>
      <w:tr>
        <w:trPr>
          <w:trHeight w:val="229"/>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Reflections</w:t>
            </w:r>
          </w:p>
        </w:tc>
        <w:tc>
          <w:tcPr>
            <w:tcW w:w="3480" w:type="dxa"/>
            <w:vAlign w:val="bottom"/>
          </w:tcPr>
          <w:p>
            <w:pPr>
              <w:spacing w:after="0"/>
              <w:rPr>
                <w:sz w:val="19"/>
                <w:szCs w:val="19"/>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Strand Bistro</w:t>
            </w:r>
          </w:p>
        </w:tc>
        <w:tc>
          <w:tcPr>
            <w:tcW w:w="3480" w:type="dxa"/>
            <w:vAlign w:val="bottom"/>
          </w:tcPr>
          <w:p>
            <w:pPr>
              <w:spacing w:after="0"/>
              <w:rPr>
                <w:sz w:val="19"/>
                <w:szCs w:val="19"/>
                <w:color w:val="auto"/>
              </w:rPr>
            </w:pPr>
          </w:p>
        </w:tc>
      </w:tr>
      <w:tr>
        <w:trPr>
          <w:trHeight w:val="229"/>
        </w:trPr>
        <w:tc>
          <w:tcPr>
            <w:tcW w:w="7740" w:type="dxa"/>
            <w:vAlign w:val="bottom"/>
            <w:gridSpan w:val="3"/>
          </w:tcPr>
          <w:p>
            <w:pPr>
              <w:ind w:left="480"/>
              <w:spacing w:after="0"/>
              <w:rPr>
                <w:sz w:val="20"/>
                <w:szCs w:val="20"/>
                <w:color w:val="auto"/>
              </w:rPr>
            </w:pPr>
            <w:r>
              <w:rPr>
                <w:rFonts w:ascii="Arial" w:cs="Arial" w:eastAsia="Arial" w:hAnsi="Arial"/>
                <w:sz w:val="18"/>
                <w:szCs w:val="18"/>
                <w:color w:val="auto"/>
              </w:rPr>
              <w:t>• The Market Place</w:t>
            </w:r>
          </w:p>
        </w:tc>
        <w:tc>
          <w:tcPr>
            <w:tcW w:w="3480" w:type="dxa"/>
            <w:vAlign w:val="bottom"/>
          </w:tcPr>
          <w:p>
            <w:pPr>
              <w:spacing w:after="0"/>
              <w:rPr>
                <w:sz w:val="19"/>
                <w:szCs w:val="19"/>
                <w:color w:val="auto"/>
              </w:rPr>
            </w:pPr>
          </w:p>
        </w:tc>
      </w:tr>
      <w:tr>
        <w:trPr>
          <w:trHeight w:val="229"/>
        </w:trPr>
        <w:tc>
          <w:tcPr>
            <w:tcW w:w="7740" w:type="dxa"/>
            <w:vAlign w:val="bottom"/>
            <w:gridSpan w:val="3"/>
          </w:tcPr>
          <w:p>
            <w:pPr>
              <w:ind w:left="480"/>
              <w:spacing w:after="0"/>
              <w:rPr>
                <w:sz w:val="20"/>
                <w:szCs w:val="20"/>
                <w:color w:val="auto"/>
              </w:rPr>
            </w:pPr>
            <w:r>
              <w:rPr>
                <w:rFonts w:ascii="Arial" w:cs="Arial" w:eastAsia="Arial" w:hAnsi="Arial"/>
                <w:sz w:val="18"/>
                <w:szCs w:val="18"/>
                <w:color w:val="auto"/>
              </w:rPr>
              <w:t>• Tidewater’s Sweets and Sundries</w:t>
            </w:r>
          </w:p>
        </w:tc>
        <w:tc>
          <w:tcPr>
            <w:tcW w:w="3480" w:type="dxa"/>
            <w:vAlign w:val="bottom"/>
          </w:tcPr>
          <w:p>
            <w:pPr>
              <w:spacing w:after="0"/>
              <w:rPr>
                <w:sz w:val="19"/>
                <w:szCs w:val="19"/>
                <w:color w:val="auto"/>
              </w:rPr>
            </w:pPr>
          </w:p>
        </w:tc>
      </w:tr>
      <w:tr>
        <w:trPr>
          <w:trHeight w:val="230"/>
        </w:trPr>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7160" w:type="dxa"/>
            <w:vAlign w:val="bottom"/>
            <w:gridSpan w:val="2"/>
          </w:tcPr>
          <w:p>
            <w:pPr>
              <w:ind w:left="40"/>
              <w:spacing w:after="0"/>
              <w:rPr>
                <w:sz w:val="20"/>
                <w:szCs w:val="20"/>
                <w:color w:val="auto"/>
              </w:rPr>
            </w:pPr>
            <w:r>
              <w:rPr>
                <w:rFonts w:ascii="Arial" w:cs="Arial" w:eastAsia="Arial" w:hAnsi="Arial"/>
                <w:sz w:val="18"/>
                <w:szCs w:val="18"/>
                <w:color w:val="auto"/>
              </w:rPr>
              <w:t>Top of the Strand</w:t>
            </w:r>
          </w:p>
        </w:tc>
        <w:tc>
          <w:tcPr>
            <w:tcW w:w="3480" w:type="dxa"/>
            <w:vAlign w:val="bottom"/>
          </w:tcPr>
          <w:p>
            <w:pPr>
              <w:spacing w:after="0"/>
              <w:rPr>
                <w:sz w:val="20"/>
                <w:szCs w:val="20"/>
                <w:color w:val="auto"/>
              </w:rPr>
            </w:pP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MORI SPC Series Corp.</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MVCO Series LLC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2019-1 LLC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SSC, Inc.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US Holdings, Inc.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US Services, LLC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Vacations LLC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Sheraton Flex Vacations, LLC</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Acceptance Corp.</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Hawaii Management, Inc.</w:t>
            </w:r>
          </w:p>
        </w:tc>
        <w:tc>
          <w:tcPr>
            <w:tcW w:w="3480" w:type="dxa"/>
            <w:vAlign w:val="bottom"/>
          </w:tcPr>
          <w:p>
            <w:pPr>
              <w:jc w:val="center"/>
              <w:spacing w:after="0"/>
              <w:rPr>
                <w:sz w:val="20"/>
                <w:szCs w:val="20"/>
                <w:color w:val="auto"/>
              </w:rPr>
            </w:pPr>
            <w:r>
              <w:rPr>
                <w:rFonts w:ascii="Arial" w:cs="Arial" w:eastAsia="Arial" w:hAnsi="Arial"/>
                <w:sz w:val="18"/>
                <w:szCs w:val="18"/>
                <w:color w:val="auto"/>
                <w:w w:val="96"/>
              </w:rPr>
              <w:t>Hawaii</w:t>
            </w:r>
          </w:p>
        </w:tc>
      </w:tr>
      <w:tr>
        <w:trPr>
          <w:trHeight w:val="377"/>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Management, Inc.</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30"/>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Entity also does business under the name:</w:t>
            </w:r>
          </w:p>
        </w:tc>
        <w:tc>
          <w:tcPr>
            <w:tcW w:w="3480" w:type="dxa"/>
            <w:vAlign w:val="bottom"/>
          </w:tcPr>
          <w:p>
            <w:pPr>
              <w:spacing w:after="0"/>
              <w:rPr>
                <w:sz w:val="19"/>
                <w:szCs w:val="19"/>
                <w:color w:val="auto"/>
              </w:rPr>
            </w:pPr>
          </w:p>
        </w:tc>
      </w:tr>
      <w:tr>
        <w:trPr>
          <w:trHeight w:val="230"/>
        </w:trPr>
        <w:tc>
          <w:tcPr>
            <w:tcW w:w="7740" w:type="dxa"/>
            <w:vAlign w:val="bottom"/>
            <w:gridSpan w:val="3"/>
          </w:tcPr>
          <w:p>
            <w:pPr>
              <w:ind w:left="480"/>
              <w:spacing w:after="0"/>
              <w:rPr>
                <w:sz w:val="20"/>
                <w:szCs w:val="20"/>
                <w:color w:val="auto"/>
              </w:rPr>
            </w:pPr>
            <w:r>
              <w:rPr>
                <w:rFonts w:ascii="Arial" w:cs="Arial" w:eastAsia="Arial" w:hAnsi="Arial"/>
                <w:sz w:val="18"/>
                <w:szCs w:val="18"/>
                <w:color w:val="auto"/>
              </w:rPr>
              <w:t>• Vistana Management, Ltd.</w:t>
            </w:r>
          </w:p>
        </w:tc>
        <w:tc>
          <w:tcPr>
            <w:tcW w:w="3480" w:type="dxa"/>
            <w:vAlign w:val="bottom"/>
          </w:tcPr>
          <w:p>
            <w:pPr>
              <w:spacing w:after="0"/>
              <w:rPr>
                <w:sz w:val="20"/>
                <w:szCs w:val="20"/>
                <w:color w:val="auto"/>
              </w:rPr>
            </w:pP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Signature Experiences, Inc.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Signature Network, Inc.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Vistana Vacation Ownership, Inc.</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378"/>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Volt Merger Sub, LLC</w:t>
            </w: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6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Subsidiaries Organized Outside the United States</w:t>
            </w:r>
          </w:p>
        </w:tc>
        <w:tc>
          <w:tcPr>
            <w:tcW w:w="100" w:type="dxa"/>
            <w:vAlign w:val="bottom"/>
          </w:tcPr>
          <w:p>
            <w:pPr>
              <w:spacing w:after="0"/>
              <w:rPr>
                <w:sz w:val="24"/>
                <w:szCs w:val="24"/>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61"/>
        </w:trPr>
        <w:tc>
          <w:tcPr>
            <w:tcW w:w="7740" w:type="dxa"/>
            <w:vAlign w:val="bottom"/>
            <w:gridSpan w:val="3"/>
          </w:tcPr>
          <w:p>
            <w:pPr>
              <w:ind w:left="20"/>
              <w:spacing w:after="0"/>
              <w:rPr>
                <w:sz w:val="20"/>
                <w:szCs w:val="20"/>
                <w:color w:val="auto"/>
              </w:rPr>
            </w:pPr>
            <w:r>
              <w:rPr>
                <w:rFonts w:ascii="Arial" w:cs="Arial" w:eastAsia="Arial" w:hAnsi="Arial"/>
                <w:sz w:val="18"/>
                <w:szCs w:val="18"/>
                <w:color w:val="auto"/>
              </w:rPr>
              <w:t>MVW International Holding Company S.à r.l.</w:t>
            </w: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30" w:right="35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333-177798) pertaining to the Marriott Vacations Worldwide Corporation Stock and Cash Incentive Plan,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333-205808) pertaining to the Marriott Vacations Worldwide Corporation Employee Stock Purchase Plan,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333-211037) pertaining to the Marriott Vacations Worldwide Corporation Deferred Compensation Plan,</w:t>
      </w:r>
    </w:p>
    <w:p>
      <w:pPr>
        <w:spacing w:after="0" w:line="248" w:lineRule="exact"/>
        <w:rPr>
          <w:rFonts w:ascii="Arial" w:cs="Arial" w:eastAsia="Arial" w:hAnsi="Arial"/>
          <w:sz w:val="16"/>
          <w:szCs w:val="16"/>
          <w:color w:val="auto"/>
        </w:rPr>
      </w:pPr>
    </w:p>
    <w:p>
      <w:pPr>
        <w:ind w:left="660" w:right="720" w:hanging="328"/>
        <w:spacing w:after="0" w:line="277"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333-227187) pertaining to the Amended and Restated Interval Leisure Group, Inc. 2013 Stock and Incentive Compensation Plan, and</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333-239368) pertaining to the Marriott Vacations Worldwide Corporation 2020 Equity Incentive Plan;</w:t>
      </w:r>
    </w:p>
    <w:p>
      <w:pPr>
        <w:spacing w:after="0" w:line="23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of our reports dated March 1, 2021,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89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right="40" w:hanging="724"/>
        <w:spacing w:after="0" w:line="263" w:lineRule="auto"/>
        <w:tabs>
          <w:tab w:leader="none" w:pos="137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23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P. Weisz, Chief Executive Officer of Marriott Vacations Worldwide Corporation (the “Company”) certify that:</w:t>
      </w:r>
    </w:p>
    <w:p>
      <w:pPr>
        <w:spacing w:after="0" w:line="225" w:lineRule="exact"/>
        <w:rPr>
          <w:sz w:val="20"/>
          <w:szCs w:val="20"/>
          <w:color w:val="auto"/>
        </w:rPr>
      </w:pPr>
    </w:p>
    <w:p>
      <w:pPr>
        <w:ind w:left="660" w:right="62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2020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40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John E. Geller, Jr., President and Chief Financial Officer of Marriott Vacations Worldwide Corporation (the “Company”) certify that:</w:t>
      </w:r>
    </w:p>
    <w:p>
      <w:pPr>
        <w:spacing w:after="0" w:line="225" w:lineRule="exact"/>
        <w:rPr>
          <w:sz w:val="20"/>
          <w:szCs w:val="20"/>
          <w:color w:val="auto"/>
        </w:rPr>
      </w:pPr>
    </w:p>
    <w:p>
      <w:pPr>
        <w:ind w:left="660" w:right="62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2020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40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4"/>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lvl w:ilvl="1">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2"/>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01"/>
    </w:lvl>
  </w:abstractNum>
  <w:abstractNum w:abstractNumId="30">
    <w:nsid w:val="5C482A97"/>
    <w:multiLevelType w:val="hybridMultilevel"/>
    <w:lvl w:ilvl="0">
      <w:lvlJc w:val="left"/>
      <w:lvlText w:val="%1"/>
      <w:numFmt w:val="decimal"/>
      <w:start w:val="104"/>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Letter"/>
      <w:start w:val="25"/>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upperLetter"/>
      <w:start w:val="2"/>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3"/>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73" Type="http://schemas.openxmlformats.org/officeDocument/2006/relationships/image" Target="media/image201.png"/><Relationship Id="rId274" Type="http://schemas.openxmlformats.org/officeDocument/2006/relationships/image" Target="media/image202.png"/><Relationship Id="rId275" Type="http://schemas.openxmlformats.org/officeDocument/2006/relationships/image" Target="media/image203.png"/><Relationship Id="rId276" Type="http://schemas.openxmlformats.org/officeDocument/2006/relationships/image" Target="media/image204.png"/><Relationship Id="rId277" Type="http://schemas.openxmlformats.org/officeDocument/2006/relationships/image" Target="media/image205.png"/><Relationship Id="rId278" Type="http://schemas.openxmlformats.org/officeDocument/2006/relationships/image" Target="media/image206.png"/><Relationship Id="rId279" Type="http://schemas.openxmlformats.org/officeDocument/2006/relationships/image" Target="media/image207.png"/><Relationship Id="rId280" Type="http://schemas.openxmlformats.org/officeDocument/2006/relationships/image" Target="media/image208.png"/><Relationship Id="rId281" Type="http://schemas.openxmlformats.org/officeDocument/2006/relationships/image" Target="media/image209.png"/><Relationship Id="rId282" Type="http://schemas.openxmlformats.org/officeDocument/2006/relationships/image" Target="media/image210.png"/><Relationship Id="rId283" Type="http://schemas.openxmlformats.org/officeDocument/2006/relationships/image" Target="media/image211.png"/><Relationship Id="rId294" Type="http://schemas.openxmlformats.org/officeDocument/2006/relationships/image" Target="media/image212.png"/><Relationship Id="rId295" Type="http://schemas.openxmlformats.org/officeDocument/2006/relationships/image" Target="media/image213.png"/><Relationship Id="rId296" Type="http://schemas.openxmlformats.org/officeDocument/2006/relationships/image" Target="media/image214.png"/><Relationship Id="rId297" Type="http://schemas.openxmlformats.org/officeDocument/2006/relationships/image" Target="media/image215.png"/><Relationship Id="rId298" Type="http://schemas.openxmlformats.org/officeDocument/2006/relationships/image" Target="media/image216.png"/><Relationship Id="rId303" Type="http://schemas.openxmlformats.org/officeDocument/2006/relationships/image" Target="media/image217.png"/><Relationship Id="rId304" Type="http://schemas.openxmlformats.org/officeDocument/2006/relationships/image" Target="media/image218.png"/><Relationship Id="rId305" Type="http://schemas.openxmlformats.org/officeDocument/2006/relationships/image" Target="media/image219.png"/><Relationship Id="rId306" Type="http://schemas.openxmlformats.org/officeDocument/2006/relationships/image" Target="media/image220.png"/><Relationship Id="rId307" Type="http://schemas.openxmlformats.org/officeDocument/2006/relationships/image" Target="media/image221.png"/><Relationship Id="rId308" Type="http://schemas.openxmlformats.org/officeDocument/2006/relationships/image" Target="media/image222.png"/><Relationship Id="rId309" Type="http://schemas.openxmlformats.org/officeDocument/2006/relationships/image" Target="media/image223.png"/><Relationship Id="rId310" Type="http://schemas.openxmlformats.org/officeDocument/2006/relationships/image" Target="media/image224.png"/><Relationship Id="rId311" Type="http://schemas.openxmlformats.org/officeDocument/2006/relationships/image" Target="media/image225.png"/><Relationship Id="rId312" Type="http://schemas.openxmlformats.org/officeDocument/2006/relationships/image" Target="media/image226.png"/><Relationship Id="rId313" Type="http://schemas.openxmlformats.org/officeDocument/2006/relationships/image" Target="media/image227.png"/><Relationship Id="rId314" Type="http://schemas.openxmlformats.org/officeDocument/2006/relationships/image" Target="media/image228.png"/><Relationship Id="rId315" Type="http://schemas.openxmlformats.org/officeDocument/2006/relationships/image" Target="media/image229.png"/><Relationship Id="rId316" Type="http://schemas.openxmlformats.org/officeDocument/2006/relationships/image" Target="media/image230.png"/><Relationship Id="rId317" Type="http://schemas.openxmlformats.org/officeDocument/2006/relationships/image" Target="media/image231.png"/><Relationship Id="rId318" Type="http://schemas.openxmlformats.org/officeDocument/2006/relationships/image" Target="media/image232.png"/><Relationship Id="rId319" Type="http://schemas.openxmlformats.org/officeDocument/2006/relationships/image" Target="media/image233.png"/><Relationship Id="rId320" Type="http://schemas.openxmlformats.org/officeDocument/2006/relationships/image" Target="media/image234.png"/><Relationship Id="rId321" Type="http://schemas.openxmlformats.org/officeDocument/2006/relationships/image" Target="media/image235.png"/><Relationship Id="rId322" Type="http://schemas.openxmlformats.org/officeDocument/2006/relationships/image" Target="media/image236.png"/><Relationship Id="rId323" Type="http://schemas.openxmlformats.org/officeDocument/2006/relationships/image" Target="media/image237.png"/><Relationship Id="rId324" Type="http://schemas.openxmlformats.org/officeDocument/2006/relationships/image" Target="media/image238.png"/><Relationship Id="rId325" Type="http://schemas.openxmlformats.org/officeDocument/2006/relationships/image" Target="media/image239.png"/><Relationship Id="rId326" Type="http://schemas.openxmlformats.org/officeDocument/2006/relationships/image" Target="media/image240.png"/><Relationship Id="rId327" Type="http://schemas.openxmlformats.org/officeDocument/2006/relationships/image" Target="media/image241.png"/><Relationship Id="rId328" Type="http://schemas.openxmlformats.org/officeDocument/2006/relationships/image" Target="media/image242.png"/><Relationship Id="rId329" Type="http://schemas.openxmlformats.org/officeDocument/2006/relationships/image" Target="media/image243.png"/><Relationship Id="rId330" Type="http://schemas.openxmlformats.org/officeDocument/2006/relationships/image" Target="media/image244.png"/><Relationship Id="rId331" Type="http://schemas.openxmlformats.org/officeDocument/2006/relationships/image" Target="media/image245.png"/><Relationship Id="rId332" Type="http://schemas.openxmlformats.org/officeDocument/2006/relationships/image" Target="media/image246.png"/><Relationship Id="rId333" Type="http://schemas.openxmlformats.org/officeDocument/2006/relationships/image" Target="media/image247.png"/><Relationship Id="rId334" Type="http://schemas.openxmlformats.org/officeDocument/2006/relationships/image" Target="media/image248.png"/><Relationship Id="rId335" Type="http://schemas.openxmlformats.org/officeDocument/2006/relationships/image" Target="media/image249.png"/><Relationship Id="rId336" Type="http://schemas.openxmlformats.org/officeDocument/2006/relationships/image" Target="media/image250.png"/><Relationship Id="rId337" Type="http://schemas.openxmlformats.org/officeDocument/2006/relationships/image" Target="media/image251.png"/><Relationship Id="rId338" Type="http://schemas.openxmlformats.org/officeDocument/2006/relationships/image" Target="media/image252.png"/><Relationship Id="rId339" Type="http://schemas.openxmlformats.org/officeDocument/2006/relationships/image" Target="media/image253.png"/><Relationship Id="rId340" Type="http://schemas.openxmlformats.org/officeDocument/2006/relationships/image" Target="media/image254.png"/><Relationship Id="rId341" Type="http://schemas.openxmlformats.org/officeDocument/2006/relationships/image" Target="media/image255.png"/><Relationship Id="rId342" Type="http://schemas.openxmlformats.org/officeDocument/2006/relationships/image" Target="media/image256.png"/><Relationship Id="rId343" Type="http://schemas.openxmlformats.org/officeDocument/2006/relationships/image" Target="media/image257.png"/><Relationship Id="rId344" Type="http://schemas.openxmlformats.org/officeDocument/2006/relationships/image" Target="media/image258.png"/><Relationship Id="rId345" Type="http://schemas.openxmlformats.org/officeDocument/2006/relationships/image" Target="media/image259.png"/><Relationship Id="rId175" Type="http://schemas.openxmlformats.org/officeDocument/2006/relationships/hyperlink" Target="http://www.sec.gov/Archives/edgar/data/1524358/000119312511320045/d256766dex21.htm" TargetMode="External"/><Relationship Id="rId176" Type="http://schemas.openxmlformats.org/officeDocument/2006/relationships/hyperlink" Target="http://www.sec.gov/Archives/edgar/data/1524358/000119312518144431/d577638dex21.htm" TargetMode="External"/><Relationship Id="rId177" Type="http://schemas.openxmlformats.org/officeDocument/2006/relationships/hyperlink" Target="https://www.sec.gov/Archives/edgar/data/1524358/000152435821000007/projectchampagne-mergeragr.htm" TargetMode="External"/><Relationship Id="rId178" Type="http://schemas.openxmlformats.org/officeDocument/2006/relationships/hyperlink" Target="http://www.sec.gov/Archives/edgar/data/1524358/000119312511320045/d256766dex31.htm" TargetMode="External"/><Relationship Id="rId179" Type="http://schemas.openxmlformats.org/officeDocument/2006/relationships/hyperlink" Target="http://www.sec.gov/Archives/edgar/data/1524358/000119312511320045/d256766dex32.htm" TargetMode="External"/><Relationship Id="rId180" Type="http://schemas.openxmlformats.org/officeDocument/2006/relationships/hyperlink" Target="http://www.sec.gov/Archives/edgar/data/1524358/000119312511271851/d197736dex41.htm" TargetMode="External"/><Relationship Id="rId184" Type="http://schemas.openxmlformats.org/officeDocument/2006/relationships/hyperlink" Target="http://www.sec.gov/Archives/edgar/data/1524358/000152435817000036/q3201710-qexhibit41xindent.htm" TargetMode="External"/><Relationship Id="rId185" Type="http://schemas.openxmlformats.org/officeDocument/2006/relationships/hyperlink" Target="http://www.sec.gov/Archives/edgar/data/1524358/000119312518256374/d608569dex41.htm" TargetMode="External"/><Relationship Id="rId186" Type="http://schemas.openxmlformats.org/officeDocument/2006/relationships/hyperlink" Target="http://www.sec.gov/Archives/edgar/data/1524358/000119312518266807/d597652dex47.htm" TargetMode="External"/><Relationship Id="rId187" Type="http://schemas.openxmlformats.org/officeDocument/2006/relationships/hyperlink" Target="https://www.sec.gov/Archives/edgar/data/1524358/000152435820000011/a201910-kex46xsecondsu.htm" TargetMode="External"/><Relationship Id="rId188" Type="http://schemas.openxmlformats.org/officeDocument/2006/relationships/hyperlink" Target="https://www.sec.gov/Archives/edgar/data/1524358/000152435820000011/a201910-kex47thirdsupp.htm" TargetMode="External"/><Relationship Id="rId189" Type="http://schemas.openxmlformats.org/officeDocument/2006/relationships/hyperlink" Target="http://www.sec.gov/Archives/edgar/data/1524358/000119312518256374/d608569dex43.htm" TargetMode="External"/><Relationship Id="rId190" Type="http://schemas.openxmlformats.org/officeDocument/2006/relationships/hyperlink" Target="http://www.sec.gov/Archives/edgar/data/1524358/000119312518266807/d597652dex48.htm" TargetMode="External"/><Relationship Id="rId191" Type="http://schemas.openxmlformats.org/officeDocument/2006/relationships/hyperlink" Target="http://www.sec.gov/Archives/edgar/data/1524358/000119312519259964/d812229dex41.htm" TargetMode="External"/><Relationship Id="rId192" Type="http://schemas.openxmlformats.org/officeDocument/2006/relationships/hyperlink" Target="https://www.sec.gov/Archives/edgar/data/1524358/000152435820000011/a201910-kex412suppleme.htm" TargetMode="External"/><Relationship Id="rId193" Type="http://schemas.openxmlformats.org/officeDocument/2006/relationships/hyperlink" Target="https://www.sec.gov/Archives/edgar/data/1524358/000152435820000011/a201910-kex413xseconds.htm" TargetMode="External"/><Relationship Id="rId194" Type="http://schemas.openxmlformats.org/officeDocument/2006/relationships/hyperlink" Target="http://www.sec.gov/Archives/edgar/data/1524358/000119312519259964/d812229dex43.htm" TargetMode="External"/><Relationship Id="rId195" Type="http://schemas.openxmlformats.org/officeDocument/2006/relationships/hyperlink" Target="https://www.sec.gov/Archives/edgar/data/1524358/000119312520143993/d931016dex41.htm" TargetMode="External"/><Relationship Id="rId196" Type="http://schemas.openxmlformats.org/officeDocument/2006/relationships/hyperlink" Target="https://www.sec.gov/Archives/edgar/data/1524358/000119312521027303/d41256dex41.htm" TargetMode="External"/><Relationship Id="rId207" Type="http://schemas.openxmlformats.org/officeDocument/2006/relationships/hyperlink" Target="https://www.sec.gov/Archives/edgar/data/1524358/000152435820000011/a201910-kex416descript.htm" TargetMode="External"/><Relationship Id="rId208" Type="http://schemas.openxmlformats.org/officeDocument/2006/relationships/hyperlink" Target="http://www.sec.gov/Archives/edgar/data/1524358/000119312511320045/d256766dex101.htm" TargetMode="External"/><Relationship Id="rId209" Type="http://schemas.openxmlformats.org/officeDocument/2006/relationships/hyperlink" Target="http://www.sec.gov/Archives/edgar/data/1524358/000119312513173034/d500890dex101.htm" TargetMode="External"/><Relationship Id="rId210" Type="http://schemas.openxmlformats.org/officeDocument/2006/relationships/hyperlink" Target="http://www.sec.gov/Archives/edgar/data/1524358/000119312516653231/d205528dex103.htm" TargetMode="External"/><Relationship Id="rId211" Type="http://schemas.openxmlformats.org/officeDocument/2006/relationships/hyperlink" Target="http://www.sec.gov/Archives/edgar/data/1524358/000152435818000007/mvw201710kex104.htm" TargetMode="External"/><Relationship Id="rId212" Type="http://schemas.openxmlformats.org/officeDocument/2006/relationships/hyperlink" Target="http://www.sec.gov/Archives/edgar/data/1524358/000152435818000007/a201710-kex105.htm" TargetMode="External"/><Relationship Id="rId213" Type="http://schemas.openxmlformats.org/officeDocument/2006/relationships/hyperlink" Target="http://www.sec.gov/Archives/edgar/data/1524358/000119312511320045/d256766dex102.htm" TargetMode="External"/><Relationship Id="rId214" Type="http://schemas.openxmlformats.org/officeDocument/2006/relationships/hyperlink" Target="http://www.sec.gov/Archives/edgar/data/1524358/000152435818000007/mvw201710-kex107.htm" TargetMode="External"/><Relationship Id="rId215" Type="http://schemas.openxmlformats.org/officeDocument/2006/relationships/hyperlink" Target="http://www.sec.gov/Archives/edgar/data/1524358/000119312511320045/d256766dex103.htm" TargetMode="External"/><Relationship Id="rId216" Type="http://schemas.openxmlformats.org/officeDocument/2006/relationships/hyperlink" Target="http://www.sec.gov/Archives/edgar/data/1524358/000119312511320045/d256766dex104.htm" TargetMode="External"/><Relationship Id="rId217" Type="http://schemas.openxmlformats.org/officeDocument/2006/relationships/hyperlink" Target="http://www.sec.gov/Archives/edgar/data/1524358/000119312512426822/d401766dex101.htm" TargetMode="External"/><Relationship Id="rId218" Type="http://schemas.openxmlformats.org/officeDocument/2006/relationships/hyperlink" Target="http://www.sec.gov/Archives/edgar/data/1524358/000119312511320045/d256766dex105.htm" TargetMode="External"/><Relationship Id="rId219" Type="http://schemas.openxmlformats.org/officeDocument/2006/relationships/hyperlink" Target="http://www.sec.gov/Archives/edgar/data/1524358/000152435818000007/a201710-kex1012.htm" TargetMode="External"/><Relationship Id="rId220" Type="http://schemas.openxmlformats.org/officeDocument/2006/relationships/hyperlink" Target="http://www.sec.gov/Archives/edgar/data/1524358/000152435818000007/a201710-kex1014.htm" TargetMode="External"/><Relationship Id="rId229" Type="http://schemas.openxmlformats.org/officeDocument/2006/relationships/hyperlink" Target="http://www.sec.gov/Archives/edgar/data/1524358/000152435817000004/ex1014-amendedandrestateds.htm" TargetMode="External"/><Relationship Id="rId230" Type="http://schemas.openxmlformats.org/officeDocument/2006/relationships/hyperlink" Target="http://www.sec.gov/Archives/edgar/data/1524358/000119312511336723/d264428dex101.htm" TargetMode="External"/><Relationship Id="rId231" Type="http://schemas.openxmlformats.org/officeDocument/2006/relationships/hyperlink" Target="http://www.sec.gov/Archives/edgar/data/1524358/000119312511336723/d264428dex102.htm" TargetMode="External"/><Relationship Id="rId235" Type="http://schemas.openxmlformats.org/officeDocument/2006/relationships/hyperlink" Target="http://www.sec.gov/Archives/edgar/data/1524358/000119312512119944/d317362dex101.htm" TargetMode="External"/><Relationship Id="rId236" Type="http://schemas.openxmlformats.org/officeDocument/2006/relationships/hyperlink" Target="http://www.sec.gov/Archives/edgar/data/1524358/000119312516477463/d84315dex1017.htm" TargetMode="External"/><Relationship Id="rId237" Type="http://schemas.openxmlformats.org/officeDocument/2006/relationships/hyperlink" Target="http://www.sec.gov/Archives/edgar/data/1524358/000119312512125188/d268132dex1016.htm" TargetMode="External"/><Relationship Id="rId238" Type="http://schemas.openxmlformats.org/officeDocument/2006/relationships/hyperlink" Target="http://www.sec.gov/Archives/edgar/data/1524358/000119312515159812/d904131dex101.htm" TargetMode="External"/><Relationship Id="rId239" Type="http://schemas.openxmlformats.org/officeDocument/2006/relationships/hyperlink" Target="http://www.sec.gov/Archives/edgar/data/1524358/000119312512119944/d317362dex102.htm" TargetMode="External"/><Relationship Id="rId240" Type="http://schemas.openxmlformats.org/officeDocument/2006/relationships/hyperlink" Target="http://www.sec.gov/Archives/edgar/data/1524358/000119312512119944/d317362dex103.htm" TargetMode="External"/><Relationship Id="rId241" Type="http://schemas.openxmlformats.org/officeDocument/2006/relationships/hyperlink" Target="http://www.sec.gov/Archives/edgar/data/1524358/000119312513257763/d552895dex103.htm" TargetMode="External"/><Relationship Id="rId242" Type="http://schemas.openxmlformats.org/officeDocument/2006/relationships/hyperlink" Target="http://www.sec.gov/Archives/edgar/data/1524358/000119312515064836/d843780dex1021.htm" TargetMode="External"/><Relationship Id="rId243" Type="http://schemas.openxmlformats.org/officeDocument/2006/relationships/hyperlink" Target="http://www.sec.gov/Archives/edgar/data/1524358/000119312515220625/d940607dex101.htm" TargetMode="External"/><Relationship Id="rId244" Type="http://schemas.openxmlformats.org/officeDocument/2006/relationships/hyperlink" Target="http://www.sec.gov/Archives/edgar/data/1524358/000119312514343148/d788810dex102.htm" TargetMode="External"/><Relationship Id="rId245" Type="http://schemas.openxmlformats.org/officeDocument/2006/relationships/hyperlink" Target="http://www.sec.gov/Archives/edgar/data/1524358/000119312515260792/d947787dex102.htm" TargetMode="External"/><Relationship Id="rId246" Type="http://schemas.openxmlformats.org/officeDocument/2006/relationships/hyperlink" Target="http://www.sec.gov/Archives/edgar/data/1524358/000119312514343148/d788810dex101.htm" TargetMode="External"/><Relationship Id="rId247" Type="http://schemas.openxmlformats.org/officeDocument/2006/relationships/hyperlink" Target="http://www.sec.gov/Archives/edgar/data/1524358/000119312515388201/d16564dex101.htm" TargetMode="External"/><Relationship Id="rId248" Type="http://schemas.openxmlformats.org/officeDocument/2006/relationships/hyperlink" Target="http://www.sec.gov/Archives/edgar/data/1524358/000119312516653231/d205528dex102.htm" TargetMode="External"/><Relationship Id="rId249" Type="http://schemas.openxmlformats.org/officeDocument/2006/relationships/hyperlink" Target="http://www.sec.gov/Archives/edgar/data/1524358/000119312516653231/d205528dex101.htm" TargetMode="External"/><Relationship Id="rId259" Type="http://schemas.openxmlformats.org/officeDocument/2006/relationships/hyperlink" Target="http://www.sec.gov/Archives/edgar/data/1524358/000152435817000008/ex-101.htm" TargetMode="External"/><Relationship Id="rId260" Type="http://schemas.openxmlformats.org/officeDocument/2006/relationships/hyperlink" Target="http://www.sec.gov/Archives/edgar/data/1524358/000119312517263681/d440518dex103.htm" TargetMode="External"/><Relationship Id="rId261" Type="http://schemas.openxmlformats.org/officeDocument/2006/relationships/hyperlink" Target="http://www.sec.gov/Archives/edgar/data/1524358/000152435817000036/q3201710-qexhibit101xformo.htm" TargetMode="External"/><Relationship Id="rId262" Type="http://schemas.openxmlformats.org/officeDocument/2006/relationships/hyperlink" Target="http://www.sec.gov/Archives/edgar/data/1524358/000152435817000036/q3201710-qexhibit102xformo.htm" TargetMode="External"/><Relationship Id="rId263" Type="http://schemas.openxmlformats.org/officeDocument/2006/relationships/hyperlink" Target="http://www.sec.gov/Archives/edgar/data/1524358/000152435819000008/exhibit1054formofamend.htm" TargetMode="External"/><Relationship Id="rId264" Type="http://schemas.openxmlformats.org/officeDocument/2006/relationships/hyperlink" Target="http://www.sec.gov/Archives/edgar/data/1524358/000119312518266807/d597652dex49.htm" TargetMode="External"/><Relationship Id="rId265" Type="http://schemas.openxmlformats.org/officeDocument/2006/relationships/hyperlink" Target="https://www.sec.gov/Archives/edgar/data/1524358/000152435820000011/a201910-kex1038amendme.htm" TargetMode="External"/><Relationship Id="rId266" Type="http://schemas.openxmlformats.org/officeDocument/2006/relationships/hyperlink" Target="https://www.sec.gov/Archives/edgar/data/1524358/000119312520143993/d931016dex43.htm" TargetMode="External"/><Relationship Id="rId267" Type="http://schemas.openxmlformats.org/officeDocument/2006/relationships/hyperlink" Target="http://www.sec.gov/Archives/edgar/data/1524358/000119312518266807/d597652dex410.htm" TargetMode="External"/><Relationship Id="rId268" Type="http://schemas.openxmlformats.org/officeDocument/2006/relationships/hyperlink" Target="http://www.sec.gov/Archives/edgar/data/1524358/000152435818000060/a2018q310-qexhibit103x.htm" TargetMode="External"/><Relationship Id="rId269" Type="http://schemas.openxmlformats.org/officeDocument/2006/relationships/hyperlink" Target="http://www.sec.gov/Archives/edgar/data/1434620/000104746908008612/a2187111zex-10_12.htm" TargetMode="External"/><Relationship Id="rId270" Type="http://schemas.openxmlformats.org/officeDocument/2006/relationships/hyperlink" Target="http://www.sec.gov/Archives/edgar/data/1434620/000110465916137604/a16-16129_1ex10d1.htm" TargetMode="External"/><Relationship Id="rId271" Type="http://schemas.openxmlformats.org/officeDocument/2006/relationships/hyperlink" Target="http://www.sec.gov/Archives/edgar/data/1434620/000104746914004700/a2220043zex-10_1.htm" TargetMode="External"/><Relationship Id="rId272" Type="http://schemas.openxmlformats.org/officeDocument/2006/relationships/hyperlink" Target="http://www.sec.gov/Archives/edgar/data/1434620/000104746914004700/a2220043zex-10_2.htm" TargetMode="External"/><Relationship Id="rId284" Type="http://schemas.openxmlformats.org/officeDocument/2006/relationships/hyperlink" Target="http://www.sec.gov/Archives/edgar/data/1434620/000104746914004700/a2220043zex-10_3.htm" TargetMode="External"/><Relationship Id="rId285" Type="http://schemas.openxmlformats.org/officeDocument/2006/relationships/hyperlink" Target="http://www.sec.gov/Archives/edgar/data/1434620/000110465916120265/a16-11085_1ex10d6.htm" TargetMode="External"/><Relationship Id="rId286" Type="http://schemas.openxmlformats.org/officeDocument/2006/relationships/hyperlink" Target="http://www.sec.gov/Archives/edgar/data/1434620/000110465916120265/a16-11085_1ex10d1.htm" TargetMode="External"/><Relationship Id="rId287" Type="http://schemas.openxmlformats.org/officeDocument/2006/relationships/hyperlink" Target="http://www.sec.gov/Archives/edgar/data/1434620/000110465916120265/a16-11085_1ex10d3.htm" TargetMode="External"/><Relationship Id="rId288" Type="http://schemas.openxmlformats.org/officeDocument/2006/relationships/hyperlink" Target="http://www.sec.gov/Archives/edgar/data/1434620/000110465916120265/a16-11085_1ex10d5.htm" TargetMode="External"/><Relationship Id="rId289" Type="http://schemas.openxmlformats.org/officeDocument/2006/relationships/hyperlink" Target="http://www.sec.gov/Archives/edgar/data/1524358/000152435818000051/a9-20x20188kexhibit102.htm" TargetMode="External"/><Relationship Id="rId290" Type="http://schemas.openxmlformats.org/officeDocument/2006/relationships/hyperlink" Target="http://www.sec.gov/Archives/edgar/data/1524358/000152435818000051/a9-20x20188kexhibit101.htm" TargetMode="External"/><Relationship Id="rId291" Type="http://schemas.openxmlformats.org/officeDocument/2006/relationships/hyperlink" Target="http://www.sec.gov/Archives/edgar/data/1434620/000155837018003932/ilg-20180331ex1021fc800.htm" TargetMode="External"/><Relationship Id="rId292" Type="http://schemas.openxmlformats.org/officeDocument/2006/relationships/hyperlink" Target="http://www.sec.gov/Archives/edgar/data/1434620/000155837017003568/ilg-20170331ex102a5cc7c.htm" TargetMode="External"/><Relationship Id="rId293" Type="http://schemas.openxmlformats.org/officeDocument/2006/relationships/hyperlink" Target="http://www.sec.gov/Archives/edgar/data/1434620/000155837018003932/ilg-20180331ex101f7f4ca.htm" TargetMode="External"/><Relationship Id="rId299" Type="http://schemas.openxmlformats.org/officeDocument/2006/relationships/hyperlink" Target="https://www.sec.gov/Archives/edgar/data/1524358/000152435820000016/a2019vacproxy.htm" TargetMode="External"/><Relationship Id="rId300" Type="http://schemas.openxmlformats.org/officeDocument/2006/relationships/hyperlink" Target="https://www.sec.gov/Archives/edgar/data/1524358/000119312521027303/d41256dex101.htm" TargetMode="External"/><Relationship Id="rId301" Type="http://schemas.openxmlformats.org/officeDocument/2006/relationships/hyperlink" Target="https://www.sec.gov/Archives/edgar/data/1524358/000119312521027303/d41256dex102.htm" TargetMode="External"/><Relationship Id="rId302" Type="http://schemas.openxmlformats.org/officeDocument/2006/relationships/hyperlink" Target="https://www.sec.gov/Archives/edgar/data/1524358/000152435820000044/a2020q3ex221xlistof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2021-03-01T16:24:46Z</dcterms:created>
  <dcterms:modified xsi:type="dcterms:W3CDTF">2021-03-01T16:24:46Z</dcterms:modified>
</cp:coreProperties>
</file>